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C9E" w:rsidRDefault="00612C9E" w:rsidP="00612C9E">
      <w:pPr>
        <w:ind w:firstLine="567"/>
        <w:rPr>
          <w:b/>
          <w:caps/>
          <w:sz w:val="22"/>
          <w:szCs w:val="22"/>
          <w:lang w:val="ro-RO"/>
        </w:rPr>
      </w:pPr>
    </w:p>
    <w:p w:rsidR="00612C9E" w:rsidRPr="00B340AB" w:rsidRDefault="00612C9E" w:rsidP="00612C9E">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612C9E" w:rsidRPr="00B340AB" w:rsidRDefault="00612C9E" w:rsidP="00612C9E">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612C9E" w:rsidRDefault="00612C9E" w:rsidP="00612C9E">
      <w:pPr>
        <w:pStyle w:val="BodyText"/>
        <w:spacing w:before="68"/>
        <w:ind w:left="1169" w:right="267"/>
        <w:jc w:val="right"/>
        <w:rPr>
          <w:spacing w:val="1"/>
          <w:sz w:val="24"/>
          <w:szCs w:val="24"/>
        </w:rPr>
      </w:pPr>
      <w:r w:rsidRPr="00B340AB">
        <w:rPr>
          <w:sz w:val="24"/>
          <w:szCs w:val="24"/>
        </w:rPr>
        <w:t>Consiliul</w:t>
      </w:r>
      <w:r w:rsidRPr="00B340AB">
        <w:rPr>
          <w:spacing w:val="6"/>
          <w:sz w:val="24"/>
          <w:szCs w:val="24"/>
        </w:rPr>
        <w:t xml:space="preserve"> </w:t>
      </w:r>
      <w:r w:rsidRPr="00B340AB">
        <w:rPr>
          <w:sz w:val="24"/>
          <w:szCs w:val="24"/>
        </w:rPr>
        <w:t>Științific al USM</w:t>
      </w:r>
      <w:r w:rsidRPr="00B340AB">
        <w:rPr>
          <w:spacing w:val="1"/>
          <w:sz w:val="24"/>
          <w:szCs w:val="24"/>
        </w:rPr>
        <w:t xml:space="preserve"> </w:t>
      </w:r>
    </w:p>
    <w:p w:rsidR="00612C9E" w:rsidRPr="00B340AB" w:rsidRDefault="00612C9E" w:rsidP="00905732">
      <w:pPr>
        <w:pStyle w:val="BodyText"/>
        <w:spacing w:before="68"/>
        <w:ind w:left="1169" w:right="267"/>
        <w:jc w:val="right"/>
        <w:rPr>
          <w:sz w:val="24"/>
          <w:szCs w:val="24"/>
        </w:rPr>
      </w:pPr>
      <w:r w:rsidRPr="00B340AB">
        <w:rPr>
          <w:sz w:val="24"/>
          <w:szCs w:val="24"/>
        </w:rPr>
        <w:t>Proces</w:t>
      </w:r>
      <w:r w:rsidRPr="00B340AB">
        <w:rPr>
          <w:spacing w:val="-3"/>
          <w:sz w:val="24"/>
          <w:szCs w:val="24"/>
        </w:rPr>
        <w:t xml:space="preserve"> </w:t>
      </w:r>
      <w:r w:rsidRPr="00B340AB">
        <w:rPr>
          <w:sz w:val="24"/>
          <w:szCs w:val="24"/>
        </w:rPr>
        <w:t>verbal</w:t>
      </w:r>
      <w:r w:rsidRPr="00B340AB">
        <w:rPr>
          <w:spacing w:val="-3"/>
          <w:sz w:val="24"/>
          <w:szCs w:val="24"/>
        </w:rPr>
        <w:t xml:space="preserve"> </w:t>
      </w:r>
      <w:r w:rsidRPr="00B340AB">
        <w:rPr>
          <w:sz w:val="24"/>
          <w:szCs w:val="24"/>
        </w:rPr>
        <w:t>nr.</w:t>
      </w:r>
      <w:r w:rsidRPr="00B340AB">
        <w:rPr>
          <w:spacing w:val="1"/>
          <w:sz w:val="24"/>
          <w:szCs w:val="24"/>
        </w:rPr>
        <w:t xml:space="preserve"> </w:t>
      </w:r>
      <w:r>
        <w:rPr>
          <w:sz w:val="24"/>
          <w:szCs w:val="24"/>
        </w:rPr>
        <w:t>2</w:t>
      </w:r>
      <w:r w:rsidRPr="00B340AB">
        <w:rPr>
          <w:sz w:val="24"/>
          <w:szCs w:val="24"/>
        </w:rPr>
        <w:t xml:space="preserve"> din</w:t>
      </w:r>
      <w:r w:rsidRPr="00B340AB">
        <w:rPr>
          <w:spacing w:val="-2"/>
          <w:sz w:val="24"/>
          <w:szCs w:val="24"/>
        </w:rPr>
        <w:t xml:space="preserve"> </w:t>
      </w:r>
      <w:r>
        <w:rPr>
          <w:sz w:val="24"/>
          <w:szCs w:val="24"/>
        </w:rPr>
        <w:t>12.11.20</w:t>
      </w:r>
    </w:p>
    <w:p w:rsidR="00612C9E" w:rsidRDefault="00612C9E" w:rsidP="00612C9E">
      <w:pPr>
        <w:ind w:firstLine="567"/>
        <w:jc w:val="center"/>
        <w:rPr>
          <w:b/>
          <w:caps/>
          <w:sz w:val="22"/>
          <w:szCs w:val="22"/>
          <w:lang w:val="ro-RO"/>
        </w:rPr>
      </w:pPr>
    </w:p>
    <w:p w:rsidR="00612C9E" w:rsidRDefault="00612C9E" w:rsidP="00612C9E">
      <w:pPr>
        <w:ind w:firstLine="567"/>
        <w:jc w:val="center"/>
        <w:rPr>
          <w:b/>
          <w:caps/>
          <w:sz w:val="22"/>
          <w:szCs w:val="22"/>
          <w:lang w:val="ro-RO"/>
        </w:rPr>
      </w:pP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5"/>
        <w:gridCol w:w="777"/>
        <w:gridCol w:w="309"/>
        <w:gridCol w:w="1431"/>
        <w:gridCol w:w="2078"/>
        <w:gridCol w:w="1162"/>
        <w:gridCol w:w="2004"/>
      </w:tblGrid>
      <w:tr w:rsidR="00612C9E" w:rsidRPr="00612C9E" w:rsidTr="00612C9E">
        <w:trPr>
          <w:trHeight w:val="400"/>
        </w:trPr>
        <w:tc>
          <w:tcPr>
            <w:tcW w:w="2372" w:type="dxa"/>
            <w:gridSpan w:val="2"/>
          </w:tcPr>
          <w:p w:rsidR="00612C9E" w:rsidRPr="00B340AB" w:rsidRDefault="00612C9E"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612C9E" w:rsidRPr="00612C9E" w:rsidRDefault="00612C9E" w:rsidP="005A74EC">
            <w:pPr>
              <w:widowControl/>
              <w:autoSpaceDE/>
              <w:autoSpaceDN/>
              <w:jc w:val="center"/>
              <w:rPr>
                <w:b/>
                <w:lang w:val="pt-PT"/>
              </w:rPr>
            </w:pPr>
            <w:r w:rsidRPr="00612C9E">
              <w:rPr>
                <w:b/>
                <w:bCs/>
                <w:lang w:val="ro-RO"/>
              </w:rPr>
              <w:t>Metodologia cercetărilor ştiinţifice în domeniul dreptului</w:t>
            </w:r>
          </w:p>
        </w:tc>
      </w:tr>
      <w:tr w:rsidR="00612C9E" w:rsidRPr="00612C9E" w:rsidTr="00612C9E">
        <w:trPr>
          <w:trHeight w:val="355"/>
        </w:trPr>
        <w:tc>
          <w:tcPr>
            <w:tcW w:w="2372" w:type="dxa"/>
            <w:gridSpan w:val="2"/>
          </w:tcPr>
          <w:p w:rsidR="00612C9E" w:rsidRPr="00B340AB" w:rsidRDefault="00612C9E"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612C9E" w:rsidRPr="00612C9E" w:rsidRDefault="00612C9E" w:rsidP="005A74EC">
            <w:pPr>
              <w:pStyle w:val="TableParagraph"/>
              <w:ind w:left="108"/>
              <w:rPr>
                <w:b/>
                <w:sz w:val="24"/>
                <w:szCs w:val="24"/>
              </w:rPr>
            </w:pPr>
            <w:r w:rsidRPr="00612C9E">
              <w:rPr>
                <w:b/>
                <w:sz w:val="24"/>
                <w:szCs w:val="24"/>
              </w:rPr>
              <w:t>Ro</w:t>
            </w:r>
            <w:r>
              <w:rPr>
                <w:b/>
                <w:sz w:val="24"/>
                <w:szCs w:val="24"/>
              </w:rPr>
              <w:t>dica Ciobanu, dr. în drept, conf. univ.</w:t>
            </w:r>
          </w:p>
        </w:tc>
      </w:tr>
      <w:tr w:rsidR="00612C9E" w:rsidRPr="00A6081F" w:rsidTr="00612C9E">
        <w:trPr>
          <w:trHeight w:val="397"/>
        </w:trPr>
        <w:tc>
          <w:tcPr>
            <w:tcW w:w="9356" w:type="dxa"/>
            <w:gridSpan w:val="7"/>
          </w:tcPr>
          <w:p w:rsidR="00612C9E" w:rsidRPr="00B340AB" w:rsidRDefault="00612C9E" w:rsidP="005A74EC">
            <w:pPr>
              <w:rPr>
                <w:b/>
                <w:bCs/>
                <w:lang w:val="ro-RO"/>
              </w:rPr>
            </w:pPr>
            <w:r w:rsidRPr="00B340AB">
              <w:rPr>
                <w:b/>
                <w:bCs/>
                <w:lang w:val="ro-RO"/>
              </w:rPr>
              <w:t>Ciclul III, Doctorat</w:t>
            </w:r>
          </w:p>
          <w:p w:rsidR="00612C9E" w:rsidRDefault="00612C9E" w:rsidP="005A74EC">
            <w:pPr>
              <w:rPr>
                <w:rFonts w:eastAsia="Calibri"/>
                <w:b/>
                <w:bCs/>
                <w:noProof/>
                <w:color w:val="000000" w:themeColor="text1"/>
                <w:lang w:val="ro-RO"/>
              </w:rPr>
            </w:pPr>
            <w:r w:rsidRPr="00612C9E">
              <w:rPr>
                <w:rFonts w:eastAsia="Calibri"/>
                <w:b/>
                <w:bCs/>
                <w:noProof/>
                <w:color w:val="000000" w:themeColor="text1"/>
                <w:lang w:val="ro-RO"/>
              </w:rPr>
              <w:t>Programul de studii – 551 Teoria generala a dreptului</w:t>
            </w:r>
          </w:p>
          <w:p w:rsidR="00612C9E" w:rsidRPr="00B340AB" w:rsidRDefault="00612C9E" w:rsidP="005A74EC">
            <w:pPr>
              <w:rPr>
                <w:b/>
                <w:bCs/>
                <w:lang w:val="ro-RO"/>
              </w:rPr>
            </w:pPr>
            <w:r w:rsidRPr="00B340AB">
              <w:rPr>
                <w:b/>
                <w:bCs/>
                <w:lang w:val="ro-RO"/>
              </w:rPr>
              <w:t>Anul</w:t>
            </w:r>
            <w:r>
              <w:rPr>
                <w:b/>
                <w:bCs/>
                <w:lang w:val="ro-RO"/>
              </w:rPr>
              <w:t xml:space="preserve"> de studii: Anul I, semestrul I</w:t>
            </w:r>
          </w:p>
          <w:p w:rsidR="00612C9E" w:rsidRPr="00A6081F" w:rsidRDefault="00612C9E" w:rsidP="005A74EC">
            <w:pPr>
              <w:pStyle w:val="TableParagraph"/>
              <w:ind w:left="0"/>
              <w:rPr>
                <w:b/>
                <w:sz w:val="24"/>
                <w:szCs w:val="24"/>
                <w:lang w:val="fr-FR"/>
              </w:rPr>
            </w:pPr>
            <w:r w:rsidRPr="00B340AB">
              <w:rPr>
                <w:b/>
                <w:bCs/>
                <w:sz w:val="24"/>
                <w:szCs w:val="24"/>
              </w:rPr>
              <w:t xml:space="preserve">Codul disciplinei: </w:t>
            </w:r>
            <w:r w:rsidRPr="00612C9E">
              <w:rPr>
                <w:b/>
                <w:bCs/>
                <w:sz w:val="24"/>
                <w:szCs w:val="24"/>
              </w:rPr>
              <w:t>F.O.01</w:t>
            </w:r>
          </w:p>
        </w:tc>
      </w:tr>
      <w:tr w:rsidR="00612C9E" w:rsidRPr="00B340AB" w:rsidTr="00612C9E">
        <w:trPr>
          <w:trHeight w:val="286"/>
        </w:trPr>
        <w:tc>
          <w:tcPr>
            <w:tcW w:w="6190" w:type="dxa"/>
            <w:gridSpan w:val="5"/>
          </w:tcPr>
          <w:p w:rsidR="00612C9E" w:rsidRPr="00B340AB" w:rsidRDefault="00612C9E"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612C9E" w:rsidRPr="00B340AB" w:rsidRDefault="00612C9E"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612C9E" w:rsidRPr="00B340AB" w:rsidRDefault="00612C9E"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612C9E" w:rsidRPr="00B340AB" w:rsidTr="00612C9E">
        <w:trPr>
          <w:trHeight w:val="284"/>
        </w:trPr>
        <w:tc>
          <w:tcPr>
            <w:tcW w:w="1595" w:type="dxa"/>
          </w:tcPr>
          <w:p w:rsidR="00612C9E" w:rsidRPr="00B340AB" w:rsidRDefault="00612C9E" w:rsidP="00612C9E">
            <w:pPr>
              <w:pStyle w:val="TableParagraph"/>
              <w:spacing w:line="225" w:lineRule="exact"/>
              <w:ind w:left="142" w:right="691"/>
              <w:rPr>
                <w:sz w:val="24"/>
                <w:szCs w:val="24"/>
              </w:rPr>
            </w:pPr>
            <w:r w:rsidRPr="00B340AB">
              <w:rPr>
                <w:sz w:val="24"/>
                <w:szCs w:val="24"/>
              </w:rPr>
              <w:t>Total</w:t>
            </w:r>
          </w:p>
        </w:tc>
        <w:tc>
          <w:tcPr>
            <w:tcW w:w="1086" w:type="dxa"/>
            <w:gridSpan w:val="2"/>
          </w:tcPr>
          <w:p w:rsidR="00612C9E" w:rsidRPr="00B340AB" w:rsidRDefault="00612C9E" w:rsidP="00612C9E">
            <w:pPr>
              <w:pStyle w:val="TableParagraph"/>
              <w:spacing w:line="225" w:lineRule="exact"/>
              <w:ind w:left="111"/>
              <w:rPr>
                <w:sz w:val="24"/>
                <w:szCs w:val="24"/>
              </w:rPr>
            </w:pPr>
            <w:r w:rsidRPr="00B340AB">
              <w:rPr>
                <w:sz w:val="24"/>
                <w:szCs w:val="24"/>
              </w:rPr>
              <w:t>Prelegeri</w:t>
            </w:r>
          </w:p>
        </w:tc>
        <w:tc>
          <w:tcPr>
            <w:tcW w:w="1431" w:type="dxa"/>
          </w:tcPr>
          <w:p w:rsidR="00612C9E" w:rsidRPr="00B340AB" w:rsidRDefault="00612C9E" w:rsidP="005A74EC">
            <w:pPr>
              <w:pStyle w:val="TableParagraph"/>
              <w:spacing w:line="225" w:lineRule="exact"/>
              <w:ind w:left="0" w:right="427"/>
              <w:rPr>
                <w:sz w:val="24"/>
                <w:szCs w:val="24"/>
              </w:rPr>
            </w:pPr>
            <w:r w:rsidRPr="00B340AB">
              <w:rPr>
                <w:sz w:val="24"/>
                <w:szCs w:val="24"/>
              </w:rPr>
              <w:t>Seminare</w:t>
            </w:r>
          </w:p>
        </w:tc>
        <w:tc>
          <w:tcPr>
            <w:tcW w:w="2078" w:type="dxa"/>
          </w:tcPr>
          <w:p w:rsidR="00612C9E" w:rsidRPr="00B340AB" w:rsidRDefault="00612C9E"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612C9E" w:rsidRPr="00B340AB" w:rsidRDefault="00612C9E" w:rsidP="005A74EC"/>
        </w:tc>
        <w:tc>
          <w:tcPr>
            <w:tcW w:w="2004" w:type="dxa"/>
            <w:vMerge/>
            <w:tcBorders>
              <w:top w:val="nil"/>
            </w:tcBorders>
          </w:tcPr>
          <w:p w:rsidR="00612C9E" w:rsidRPr="00B340AB" w:rsidRDefault="00612C9E" w:rsidP="005A74EC"/>
        </w:tc>
      </w:tr>
      <w:tr w:rsidR="00612C9E" w:rsidRPr="00B340AB" w:rsidTr="00612C9E">
        <w:trPr>
          <w:trHeight w:val="303"/>
        </w:trPr>
        <w:tc>
          <w:tcPr>
            <w:tcW w:w="1595" w:type="dxa"/>
          </w:tcPr>
          <w:p w:rsidR="00612C9E" w:rsidRPr="00B340AB" w:rsidRDefault="00612C9E" w:rsidP="005A74EC">
            <w:pPr>
              <w:pStyle w:val="TableParagraph"/>
              <w:spacing w:line="225" w:lineRule="exact"/>
              <w:ind w:right="688"/>
              <w:rPr>
                <w:sz w:val="24"/>
                <w:szCs w:val="24"/>
              </w:rPr>
            </w:pPr>
            <w:r>
              <w:rPr>
                <w:sz w:val="24"/>
                <w:szCs w:val="24"/>
              </w:rPr>
              <w:t>240</w:t>
            </w:r>
          </w:p>
        </w:tc>
        <w:tc>
          <w:tcPr>
            <w:tcW w:w="1086" w:type="dxa"/>
            <w:gridSpan w:val="2"/>
          </w:tcPr>
          <w:p w:rsidR="00612C9E" w:rsidRPr="00B340AB" w:rsidRDefault="00032FF5" w:rsidP="005A74EC">
            <w:pPr>
              <w:pStyle w:val="TableParagraph"/>
              <w:spacing w:line="225" w:lineRule="exact"/>
              <w:ind w:left="9"/>
              <w:jc w:val="center"/>
              <w:rPr>
                <w:sz w:val="24"/>
                <w:szCs w:val="24"/>
              </w:rPr>
            </w:pPr>
            <w:r>
              <w:rPr>
                <w:w w:val="99"/>
                <w:sz w:val="24"/>
                <w:szCs w:val="24"/>
              </w:rPr>
              <w:t>6</w:t>
            </w:r>
            <w:bookmarkStart w:id="0" w:name="_GoBack"/>
            <w:bookmarkEnd w:id="0"/>
          </w:p>
        </w:tc>
        <w:tc>
          <w:tcPr>
            <w:tcW w:w="1431" w:type="dxa"/>
          </w:tcPr>
          <w:p w:rsidR="00612C9E" w:rsidRPr="00B340AB" w:rsidRDefault="00612C9E" w:rsidP="005A74EC">
            <w:pPr>
              <w:pStyle w:val="TableParagraph"/>
              <w:spacing w:line="225" w:lineRule="exact"/>
              <w:ind w:left="13"/>
              <w:jc w:val="center"/>
              <w:rPr>
                <w:sz w:val="24"/>
                <w:szCs w:val="24"/>
              </w:rPr>
            </w:pPr>
            <w:r>
              <w:rPr>
                <w:sz w:val="24"/>
                <w:szCs w:val="24"/>
              </w:rPr>
              <w:t>10</w:t>
            </w:r>
          </w:p>
        </w:tc>
        <w:tc>
          <w:tcPr>
            <w:tcW w:w="2078" w:type="dxa"/>
          </w:tcPr>
          <w:p w:rsidR="00612C9E" w:rsidRPr="00B340AB" w:rsidRDefault="00612C9E" w:rsidP="005A74EC">
            <w:pPr>
              <w:pStyle w:val="TableParagraph"/>
              <w:spacing w:line="225" w:lineRule="exact"/>
              <w:ind w:left="497" w:right="482"/>
              <w:jc w:val="center"/>
              <w:rPr>
                <w:sz w:val="24"/>
                <w:szCs w:val="24"/>
              </w:rPr>
            </w:pPr>
            <w:r>
              <w:rPr>
                <w:sz w:val="24"/>
                <w:szCs w:val="24"/>
              </w:rPr>
              <w:t>224</w:t>
            </w:r>
          </w:p>
        </w:tc>
        <w:tc>
          <w:tcPr>
            <w:tcW w:w="1162" w:type="dxa"/>
          </w:tcPr>
          <w:p w:rsidR="00612C9E" w:rsidRPr="00B340AB" w:rsidRDefault="00612C9E" w:rsidP="005A74EC">
            <w:pPr>
              <w:pStyle w:val="TableParagraph"/>
              <w:spacing w:line="225" w:lineRule="exact"/>
              <w:ind w:left="12"/>
              <w:jc w:val="center"/>
              <w:rPr>
                <w:sz w:val="24"/>
                <w:szCs w:val="24"/>
              </w:rPr>
            </w:pPr>
            <w:r>
              <w:rPr>
                <w:w w:val="99"/>
                <w:sz w:val="24"/>
                <w:szCs w:val="24"/>
              </w:rPr>
              <w:t>8</w:t>
            </w:r>
          </w:p>
        </w:tc>
        <w:tc>
          <w:tcPr>
            <w:tcW w:w="2004" w:type="dxa"/>
          </w:tcPr>
          <w:p w:rsidR="00612C9E" w:rsidRPr="00B340AB" w:rsidRDefault="00612C9E" w:rsidP="005A74EC">
            <w:pPr>
              <w:pStyle w:val="TableParagraph"/>
              <w:spacing w:line="225" w:lineRule="exact"/>
              <w:ind w:right="729"/>
              <w:rPr>
                <w:sz w:val="24"/>
                <w:szCs w:val="24"/>
              </w:rPr>
            </w:pPr>
            <w:r w:rsidRPr="00B340AB">
              <w:rPr>
                <w:sz w:val="24"/>
                <w:szCs w:val="24"/>
              </w:rPr>
              <w:t>Examen</w:t>
            </w:r>
          </w:p>
        </w:tc>
      </w:tr>
    </w:tbl>
    <w:p w:rsidR="00612C9E" w:rsidRPr="00CD124F" w:rsidRDefault="00612C9E" w:rsidP="00612C9E">
      <w:pPr>
        <w:rPr>
          <w:b/>
          <w:i/>
          <w:sz w:val="22"/>
          <w:szCs w:val="22"/>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0"/>
        <w:gridCol w:w="7741"/>
      </w:tblGrid>
      <w:tr w:rsidR="009C4A5B" w:rsidRPr="00F55A62" w:rsidTr="009C4A5B">
        <w:tc>
          <w:tcPr>
            <w:tcW w:w="1610" w:type="dxa"/>
            <w:vAlign w:val="center"/>
          </w:tcPr>
          <w:p w:rsidR="009C4A5B" w:rsidRPr="00F55A62" w:rsidRDefault="009C4A5B" w:rsidP="005A74EC">
            <w:pPr>
              <w:jc w:val="center"/>
              <w:rPr>
                <w:b/>
                <w:sz w:val="22"/>
                <w:szCs w:val="22"/>
                <w:lang w:val="ro-RO"/>
              </w:rPr>
            </w:pPr>
            <w:r>
              <w:rPr>
                <w:b/>
                <w:sz w:val="22"/>
                <w:szCs w:val="22"/>
                <w:lang w:val="ro-RO"/>
              </w:rPr>
              <w:t>Fundamentare</w:t>
            </w:r>
          </w:p>
        </w:tc>
        <w:tc>
          <w:tcPr>
            <w:tcW w:w="7741" w:type="dxa"/>
            <w:vAlign w:val="center"/>
          </w:tcPr>
          <w:p w:rsidR="009C4A5B" w:rsidRPr="00612C9E" w:rsidRDefault="009C4A5B" w:rsidP="00612C9E">
            <w:pPr>
              <w:jc w:val="both"/>
              <w:rPr>
                <w:color w:val="FF0000"/>
                <w:lang w:val="ro-RO"/>
              </w:rPr>
            </w:pPr>
            <w:r w:rsidRPr="00612C9E">
              <w:rPr>
                <w:lang w:val="ro-RO"/>
              </w:rPr>
              <w:t>Aprofundarea cunoștințelor în domeniul științelor juridice este esențială pentru încadrarea cu succes în relațiile social-economice în care s-a angajat Republica Moldova. La conceperea și structurarea programului s-a ținut cont de propunerile experților în domeniu din țară și de peste hotare, de opiniile și de așteptările viitorilor angajatori. Aceste condiții au permis orientarea formării specialiștilor în domeniul științelor juridice spre necesitățile reale ale pieții muncii atât din țară, cât și peste hotarele ei</w:t>
            </w:r>
            <w:r>
              <w:rPr>
                <w:color w:val="FF0000"/>
                <w:lang w:val="ro-RO"/>
              </w:rPr>
              <w:t>.</w:t>
            </w:r>
          </w:p>
        </w:tc>
      </w:tr>
      <w:tr w:rsidR="009C4A5B" w:rsidRPr="00F55A62" w:rsidTr="009C4A5B">
        <w:trPr>
          <w:trHeight w:val="4423"/>
        </w:trPr>
        <w:tc>
          <w:tcPr>
            <w:tcW w:w="1610" w:type="dxa"/>
            <w:vAlign w:val="center"/>
          </w:tcPr>
          <w:p w:rsidR="009C4A5B" w:rsidRPr="00F55A62" w:rsidRDefault="009C4A5B"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9C4A5B" w:rsidRPr="00612C9E" w:rsidRDefault="009C4A5B" w:rsidP="00612C9E">
            <w:pPr>
              <w:jc w:val="both"/>
              <w:rPr>
                <w:sz w:val="22"/>
                <w:szCs w:val="22"/>
                <w:lang w:val="ro-RO"/>
              </w:rPr>
            </w:pPr>
            <w:r w:rsidRPr="00612C9E">
              <w:rPr>
                <w:sz w:val="22"/>
                <w:szCs w:val="22"/>
                <w:lang w:val="ro-RO"/>
              </w:rPr>
              <w:t xml:space="preserve">Tema 1: </w:t>
            </w:r>
            <w:r w:rsidRPr="00612C9E">
              <w:t>Statutul ştiinţelor contemporane. Ştiinţa dreptului ca sistem.</w:t>
            </w:r>
          </w:p>
          <w:p w:rsidR="009C4A5B" w:rsidRPr="00612C9E" w:rsidRDefault="009C4A5B" w:rsidP="00612C9E">
            <w:pPr>
              <w:jc w:val="both"/>
              <w:rPr>
                <w:sz w:val="22"/>
                <w:szCs w:val="22"/>
                <w:lang w:val="ro-RO"/>
              </w:rPr>
            </w:pPr>
            <w:r w:rsidRPr="00612C9E">
              <w:rPr>
                <w:sz w:val="22"/>
                <w:szCs w:val="22"/>
                <w:lang w:val="ro-RO"/>
              </w:rPr>
              <w:t xml:space="preserve">Tema 2: </w:t>
            </w:r>
            <w:r w:rsidRPr="00612C9E">
              <w:t>Gnoseologia şi epistemologia juridică. Spaţiul epistemologic comun al teoriei dreptului şi practicii juridice.</w:t>
            </w:r>
          </w:p>
          <w:p w:rsidR="009C4A5B" w:rsidRPr="00612C9E" w:rsidRDefault="009C4A5B" w:rsidP="00612C9E">
            <w:pPr>
              <w:jc w:val="both"/>
              <w:rPr>
                <w:sz w:val="22"/>
                <w:szCs w:val="22"/>
                <w:lang w:val="ro-RO"/>
              </w:rPr>
            </w:pPr>
            <w:r w:rsidRPr="00612C9E">
              <w:rPr>
                <w:sz w:val="22"/>
                <w:szCs w:val="22"/>
                <w:lang w:val="ro-RO"/>
              </w:rPr>
              <w:t xml:space="preserve">Tema 3: </w:t>
            </w:r>
            <w:r w:rsidRPr="00612C9E">
              <w:t>Pluralismul procesului de cunoaştere. Dreptul în cadrul tabloului ştiinţific contemporan.</w:t>
            </w:r>
          </w:p>
          <w:p w:rsidR="009C4A5B" w:rsidRPr="00612C9E" w:rsidRDefault="009C4A5B" w:rsidP="00612C9E">
            <w:pPr>
              <w:jc w:val="both"/>
              <w:rPr>
                <w:sz w:val="22"/>
                <w:szCs w:val="22"/>
                <w:lang w:val="ro-RO"/>
              </w:rPr>
            </w:pPr>
            <w:r w:rsidRPr="00612C9E">
              <w:rPr>
                <w:sz w:val="22"/>
                <w:szCs w:val="22"/>
                <w:lang w:val="ro-RO"/>
              </w:rPr>
              <w:t xml:space="preserve">Tema 4: </w:t>
            </w:r>
            <w:r w:rsidRPr="00612C9E">
              <w:t>Teoria, filosofia şi istoria dreptului în arealul metodologic al cercetării juridice.</w:t>
            </w:r>
          </w:p>
          <w:p w:rsidR="009C4A5B" w:rsidRPr="00612C9E" w:rsidRDefault="009C4A5B" w:rsidP="00612C9E">
            <w:pPr>
              <w:jc w:val="both"/>
              <w:rPr>
                <w:sz w:val="22"/>
                <w:szCs w:val="22"/>
                <w:lang w:val="ro-RO"/>
              </w:rPr>
            </w:pPr>
            <w:r w:rsidRPr="00612C9E">
              <w:rPr>
                <w:sz w:val="22"/>
                <w:szCs w:val="22"/>
                <w:lang w:val="ro-RO"/>
              </w:rPr>
              <w:t xml:space="preserve">Tema 5: </w:t>
            </w:r>
            <w:r w:rsidRPr="00612C9E">
              <w:t>Proiectarea cercetării ştiinţifice juridice. Planuri şi strategii de cercetare.</w:t>
            </w:r>
          </w:p>
          <w:p w:rsidR="009C4A5B" w:rsidRPr="00612C9E" w:rsidRDefault="009C4A5B" w:rsidP="00612C9E">
            <w:pPr>
              <w:jc w:val="both"/>
              <w:rPr>
                <w:sz w:val="22"/>
                <w:szCs w:val="22"/>
                <w:lang w:val="ro-RO"/>
              </w:rPr>
            </w:pPr>
            <w:r w:rsidRPr="00612C9E">
              <w:rPr>
                <w:sz w:val="22"/>
                <w:szCs w:val="22"/>
                <w:lang w:val="ro-RO"/>
              </w:rPr>
              <w:t xml:space="preserve">Tema 6: </w:t>
            </w:r>
            <w:r w:rsidRPr="00612C9E">
              <w:t>Metode şi tehnici de cercetare a dreptului.</w:t>
            </w:r>
          </w:p>
          <w:p w:rsidR="009C4A5B" w:rsidRPr="00612C9E" w:rsidRDefault="009C4A5B" w:rsidP="00612C9E">
            <w:pPr>
              <w:jc w:val="both"/>
              <w:rPr>
                <w:sz w:val="22"/>
                <w:szCs w:val="22"/>
                <w:lang w:val="ro-RO"/>
              </w:rPr>
            </w:pPr>
            <w:r w:rsidRPr="00612C9E">
              <w:rPr>
                <w:sz w:val="22"/>
                <w:szCs w:val="22"/>
                <w:lang w:val="ro-RO"/>
              </w:rPr>
              <w:t xml:space="preserve">Tema 7: </w:t>
            </w:r>
            <w:r w:rsidRPr="00612C9E">
              <w:t>Metodele de colectare şi prelucrare a informaţiei. Rolul raţionamentului juridic.</w:t>
            </w:r>
          </w:p>
          <w:p w:rsidR="009C4A5B" w:rsidRPr="00612C9E" w:rsidRDefault="009C4A5B" w:rsidP="00612C9E">
            <w:pPr>
              <w:jc w:val="both"/>
              <w:rPr>
                <w:sz w:val="22"/>
                <w:szCs w:val="22"/>
                <w:lang w:val="ro-RO"/>
              </w:rPr>
            </w:pPr>
            <w:r w:rsidRPr="00612C9E">
              <w:rPr>
                <w:sz w:val="22"/>
                <w:szCs w:val="22"/>
                <w:lang w:val="ro-RO"/>
              </w:rPr>
              <w:t xml:space="preserve">Tema 8: </w:t>
            </w:r>
            <w:r w:rsidRPr="00612C9E">
              <w:t>Metodologia interpretării în contextul pluralismului metodologic.</w:t>
            </w:r>
          </w:p>
          <w:p w:rsidR="009C4A5B" w:rsidRPr="00612C9E" w:rsidRDefault="009C4A5B" w:rsidP="00612C9E">
            <w:pPr>
              <w:jc w:val="both"/>
              <w:rPr>
                <w:sz w:val="22"/>
                <w:szCs w:val="22"/>
                <w:lang w:val="ro-RO"/>
              </w:rPr>
            </w:pPr>
            <w:r w:rsidRPr="00612C9E">
              <w:rPr>
                <w:sz w:val="22"/>
                <w:szCs w:val="22"/>
                <w:lang w:val="ro-RO"/>
              </w:rPr>
              <w:t xml:space="preserve">Tema 9: </w:t>
            </w:r>
            <w:r w:rsidRPr="00612C9E">
              <w:t>Argumentarea şi interpretarea materialelor cercetate. Tipuri fundamentale de argumentare.</w:t>
            </w:r>
          </w:p>
          <w:p w:rsidR="009C4A5B" w:rsidRPr="00612C9E" w:rsidRDefault="009C4A5B" w:rsidP="00612C9E">
            <w:pPr>
              <w:pStyle w:val="Title"/>
              <w:jc w:val="both"/>
              <w:rPr>
                <w:b w:val="0"/>
                <w:sz w:val="24"/>
                <w:szCs w:val="24"/>
              </w:rPr>
            </w:pPr>
            <w:r w:rsidRPr="00612C9E">
              <w:rPr>
                <w:b w:val="0"/>
                <w:sz w:val="24"/>
                <w:szCs w:val="24"/>
              </w:rPr>
              <w:t xml:space="preserve"> </w:t>
            </w:r>
            <w:r w:rsidRPr="00612C9E">
              <w:rPr>
                <w:b w:val="0"/>
                <w:sz w:val="22"/>
                <w:szCs w:val="22"/>
              </w:rPr>
              <w:t xml:space="preserve">Tema 10: </w:t>
            </w:r>
            <w:r w:rsidRPr="00612C9E">
              <w:rPr>
                <w:b w:val="0"/>
                <w:sz w:val="24"/>
                <w:szCs w:val="24"/>
              </w:rPr>
              <w:t>Redactarea lucrării ştiinţifice juridice. Susţinerea publică a tezei.</w:t>
            </w:r>
          </w:p>
        </w:tc>
      </w:tr>
      <w:tr w:rsidR="009C4A5B" w:rsidRPr="00F55A62" w:rsidTr="009C4A5B">
        <w:tc>
          <w:tcPr>
            <w:tcW w:w="1610" w:type="dxa"/>
            <w:vAlign w:val="center"/>
          </w:tcPr>
          <w:p w:rsidR="009C4A5B" w:rsidRDefault="009C4A5B"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9C4A5B" w:rsidRPr="00F55A62" w:rsidRDefault="009C4A5B" w:rsidP="005A74EC">
            <w:pPr>
              <w:jc w:val="center"/>
              <w:rPr>
                <w:b/>
                <w:sz w:val="22"/>
                <w:szCs w:val="22"/>
                <w:lang w:val="ro-RO"/>
              </w:rPr>
            </w:pPr>
          </w:p>
        </w:tc>
        <w:tc>
          <w:tcPr>
            <w:tcW w:w="7741" w:type="dxa"/>
            <w:vAlign w:val="center"/>
          </w:tcPr>
          <w:p w:rsidR="009C4A5B" w:rsidRPr="00CE7A57" w:rsidRDefault="009C4A5B" w:rsidP="005A74EC">
            <w:pPr>
              <w:rPr>
                <w:b/>
                <w:sz w:val="22"/>
                <w:szCs w:val="22"/>
                <w:lang w:val="ro-RO"/>
              </w:rPr>
            </w:pPr>
            <w:r w:rsidRPr="00CE7A57">
              <w:rPr>
                <w:b/>
                <w:sz w:val="22"/>
                <w:szCs w:val="22"/>
                <w:lang w:val="ro-RO"/>
              </w:rPr>
              <w:t>Bibliografia cursului:</w:t>
            </w:r>
          </w:p>
          <w:p w:rsidR="009C4A5B" w:rsidRPr="00CE7A57" w:rsidRDefault="009C4A5B" w:rsidP="005A74EC">
            <w:pPr>
              <w:numPr>
                <w:ilvl w:val="0"/>
                <w:numId w:val="1"/>
              </w:numPr>
              <w:rPr>
                <w:b/>
                <w:sz w:val="22"/>
                <w:szCs w:val="22"/>
                <w:lang w:val="ro-RO"/>
              </w:rPr>
            </w:pPr>
            <w:r w:rsidRPr="00CE7A57">
              <w:rPr>
                <w:b/>
                <w:sz w:val="22"/>
                <w:szCs w:val="22"/>
                <w:lang w:val="ro-RO"/>
              </w:rPr>
              <w:t>Acte normative internaționale</w:t>
            </w:r>
          </w:p>
          <w:p w:rsidR="009C4A5B" w:rsidRPr="00CE7A57" w:rsidRDefault="009C4A5B" w:rsidP="005A74EC">
            <w:pPr>
              <w:numPr>
                <w:ilvl w:val="0"/>
                <w:numId w:val="1"/>
              </w:numPr>
              <w:rPr>
                <w:b/>
                <w:sz w:val="22"/>
                <w:szCs w:val="22"/>
                <w:lang w:val="ro-RO"/>
              </w:rPr>
            </w:pPr>
            <w:r w:rsidRPr="00CE7A57">
              <w:rPr>
                <w:b/>
                <w:sz w:val="22"/>
                <w:szCs w:val="22"/>
                <w:lang w:val="ro-RO"/>
              </w:rPr>
              <w:t>Acte normative naționale</w:t>
            </w:r>
          </w:p>
          <w:p w:rsidR="009C4A5B" w:rsidRPr="00CE7A57" w:rsidRDefault="009C4A5B" w:rsidP="005A74EC">
            <w:pPr>
              <w:numPr>
                <w:ilvl w:val="0"/>
                <w:numId w:val="1"/>
              </w:numPr>
              <w:rPr>
                <w:b/>
                <w:sz w:val="22"/>
                <w:szCs w:val="22"/>
                <w:lang w:val="ro-RO"/>
              </w:rPr>
            </w:pPr>
            <w:r w:rsidRPr="00CE7A57">
              <w:rPr>
                <w:b/>
                <w:sz w:val="22"/>
                <w:szCs w:val="22"/>
                <w:lang w:val="ro-RO"/>
              </w:rPr>
              <w:t>Manuale, monografii, suporturi de curs, note de curs, studii de specialitate</w:t>
            </w:r>
          </w:p>
          <w:p w:rsidR="009C4A5B" w:rsidRPr="00CE7A57" w:rsidRDefault="009C4A5B" w:rsidP="005A74EC">
            <w:pPr>
              <w:pStyle w:val="FootnoteText"/>
              <w:numPr>
                <w:ilvl w:val="0"/>
                <w:numId w:val="3"/>
              </w:numPr>
              <w:tabs>
                <w:tab w:val="left" w:pos="0"/>
              </w:tabs>
              <w:spacing w:line="276" w:lineRule="auto"/>
              <w:ind w:left="714" w:hanging="357"/>
              <w:jc w:val="both"/>
              <w:rPr>
                <w:color w:val="auto"/>
                <w:sz w:val="22"/>
                <w:szCs w:val="22"/>
                <w:lang w:val="ro-RO"/>
              </w:rPr>
            </w:pPr>
            <w:r w:rsidRPr="00CE7A57">
              <w:rPr>
                <w:color w:val="auto"/>
                <w:sz w:val="22"/>
                <w:szCs w:val="22"/>
                <w:lang w:val="ro-RO"/>
              </w:rPr>
              <w:t xml:space="preserve">Avornic Gheorghe. Activismul juridic al cetăţenilor în statul de drept:   </w:t>
            </w:r>
            <w:r w:rsidRPr="00612C9E">
              <w:rPr>
                <w:sz w:val="22"/>
                <w:szCs w:val="22"/>
                <w:lang w:val="ro-RO"/>
              </w:rPr>
              <w:t>Cartdidact, 2005</w:t>
            </w:r>
            <w:r w:rsidRPr="00CE7A57">
              <w:rPr>
                <w:sz w:val="22"/>
                <w:szCs w:val="22"/>
                <w:lang w:val="ro-RO"/>
              </w:rPr>
              <w:t>.</w:t>
            </w:r>
            <w:r w:rsidRPr="00612C9E">
              <w:rPr>
                <w:sz w:val="22"/>
                <w:szCs w:val="22"/>
                <w:lang w:val="ro-RO"/>
              </w:rPr>
              <w:t xml:space="preserve"> </w:t>
            </w:r>
            <w:r w:rsidRPr="00CE7A57">
              <w:rPr>
                <w:sz w:val="22"/>
                <w:szCs w:val="22"/>
                <w:lang w:val="en-US"/>
              </w:rPr>
              <w:t>180 p.</w:t>
            </w:r>
            <w:r w:rsidRPr="00CE7A57">
              <w:rPr>
                <w:color w:val="auto"/>
                <w:sz w:val="22"/>
                <w:szCs w:val="22"/>
                <w:lang w:val="ro-RO"/>
              </w:rPr>
              <w:t xml:space="preserve">  </w:t>
            </w:r>
          </w:p>
          <w:p w:rsidR="009C4A5B" w:rsidRPr="00CE7A57" w:rsidRDefault="009C4A5B" w:rsidP="005A74EC">
            <w:pPr>
              <w:pStyle w:val="FootnoteText"/>
              <w:numPr>
                <w:ilvl w:val="0"/>
                <w:numId w:val="3"/>
              </w:numPr>
              <w:tabs>
                <w:tab w:val="left" w:pos="0"/>
              </w:tabs>
              <w:spacing w:line="276" w:lineRule="auto"/>
              <w:ind w:left="714" w:hanging="357"/>
              <w:jc w:val="both"/>
              <w:rPr>
                <w:color w:val="auto"/>
                <w:sz w:val="22"/>
                <w:szCs w:val="22"/>
                <w:lang w:val="ro-RO"/>
              </w:rPr>
            </w:pPr>
            <w:r w:rsidRPr="00CE7A57">
              <w:rPr>
                <w:sz w:val="22"/>
                <w:szCs w:val="22"/>
                <w:lang w:val="en-US"/>
              </w:rPr>
              <w:t>Avornic Gheorghe. Teoria generală a dreptului, ed. a II-a. Chişinău: Editura Cartier, 2004,</w:t>
            </w:r>
            <w:r w:rsidRPr="00CE7A57">
              <w:rPr>
                <w:sz w:val="22"/>
                <w:szCs w:val="22"/>
                <w:lang w:val="ro-RO"/>
              </w:rPr>
              <w:t xml:space="preserve"> 653 p.</w:t>
            </w:r>
          </w:p>
          <w:p w:rsidR="009C4A5B" w:rsidRPr="00612C9E" w:rsidRDefault="009C4A5B"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lastRenderedPageBreak/>
              <w:t>ARAMĂ ELENA.</w:t>
            </w:r>
            <w:r w:rsidRPr="00612C9E">
              <w:rPr>
                <w:b/>
                <w:bCs/>
                <w:sz w:val="22"/>
                <w:szCs w:val="22"/>
                <w:lang w:val="pt-PT" w:eastAsia="it-IT"/>
              </w:rPr>
              <w:t xml:space="preserve"> </w:t>
            </w:r>
            <w:r w:rsidRPr="00612C9E">
              <w:rPr>
                <w:bCs/>
                <w:i/>
                <w:sz w:val="22"/>
                <w:szCs w:val="22"/>
                <w:lang w:val="pt-PT" w:eastAsia="it-IT"/>
              </w:rPr>
              <w:t>Repere metodologice pentru studierea şi aplicarea dreptului (Studiu).</w:t>
            </w:r>
            <w:r w:rsidRPr="00612C9E">
              <w:rPr>
                <w:bCs/>
                <w:sz w:val="22"/>
                <w:szCs w:val="22"/>
                <w:lang w:val="pt-PT" w:eastAsia="it-IT"/>
              </w:rPr>
              <w:t xml:space="preserve"> Chişinău, 2009, 210 p.</w:t>
            </w:r>
          </w:p>
          <w:p w:rsidR="009C4A5B" w:rsidRPr="00612C9E" w:rsidRDefault="009C4A5B" w:rsidP="005A74EC">
            <w:pPr>
              <w:numPr>
                <w:ilvl w:val="0"/>
                <w:numId w:val="3"/>
              </w:numPr>
              <w:spacing w:line="276" w:lineRule="auto"/>
              <w:ind w:left="714" w:hanging="357"/>
              <w:jc w:val="both"/>
              <w:rPr>
                <w:bCs/>
                <w:sz w:val="22"/>
                <w:szCs w:val="22"/>
                <w:lang w:val="pt-PT" w:eastAsia="it-IT"/>
              </w:rPr>
            </w:pPr>
            <w:r w:rsidRPr="00612C9E">
              <w:rPr>
                <w:bCs/>
                <w:sz w:val="22"/>
                <w:szCs w:val="22"/>
                <w:lang w:val="pt-PT" w:eastAsia="it-IT"/>
              </w:rPr>
              <w:t>ARAMĂ, ELENA, CIOBANU, RODICA.</w:t>
            </w:r>
            <w:r w:rsidRPr="00612C9E">
              <w:rPr>
                <w:b/>
                <w:bCs/>
                <w:sz w:val="22"/>
                <w:szCs w:val="22"/>
                <w:lang w:val="pt-PT" w:eastAsia="it-IT"/>
              </w:rPr>
              <w:t xml:space="preserve"> </w:t>
            </w:r>
            <w:r w:rsidRPr="00612C9E">
              <w:rPr>
                <w:bCs/>
                <w:i/>
                <w:sz w:val="22"/>
                <w:szCs w:val="22"/>
                <w:lang w:val="pt-PT" w:eastAsia="it-IT"/>
              </w:rPr>
              <w:t>Metodologia dreptului.</w:t>
            </w:r>
            <w:r w:rsidRPr="00612C9E">
              <w:rPr>
                <w:bCs/>
                <w:sz w:val="22"/>
                <w:szCs w:val="22"/>
                <w:lang w:val="pt-PT" w:eastAsia="it-IT"/>
              </w:rPr>
              <w:t xml:space="preserve"> Sinteze pentru seminar. CEP USM, 2011, 164 p. 11 c.a</w:t>
            </w:r>
          </w:p>
          <w:p w:rsidR="009C4A5B" w:rsidRPr="00CE7A57" w:rsidRDefault="009C4A5B" w:rsidP="005A74EC">
            <w:pPr>
              <w:numPr>
                <w:ilvl w:val="0"/>
                <w:numId w:val="1"/>
              </w:numPr>
              <w:rPr>
                <w:b/>
                <w:sz w:val="22"/>
                <w:szCs w:val="22"/>
                <w:lang w:val="ro-RO"/>
              </w:rPr>
            </w:pPr>
            <w:r w:rsidRPr="00CE7A57">
              <w:rPr>
                <w:b/>
                <w:sz w:val="22"/>
                <w:szCs w:val="22"/>
                <w:lang w:val="ro-RO"/>
              </w:rPr>
              <w:t>Autoreferate ai tezelor de doctorat, tezele de doctorat</w:t>
            </w:r>
          </w:p>
          <w:p w:rsidR="009C4A5B" w:rsidRPr="00CE7A57" w:rsidRDefault="009C4A5B" w:rsidP="005A74EC">
            <w:pPr>
              <w:rPr>
                <w:b/>
                <w:i/>
                <w:sz w:val="22"/>
                <w:szCs w:val="22"/>
                <w:lang w:val="ro-RO"/>
              </w:rPr>
            </w:pPr>
            <w:r w:rsidRPr="00CE7A57">
              <w:rPr>
                <w:b/>
                <w:i/>
                <w:sz w:val="22"/>
                <w:szCs w:val="22"/>
                <w:lang w:val="ro-RO"/>
              </w:rPr>
              <w:t>4.1.Autoreferate ai tezelor de doctorat</w:t>
            </w:r>
          </w:p>
          <w:p w:rsidR="009C4A5B" w:rsidRPr="00CE7A57" w:rsidRDefault="009C4A5B" w:rsidP="005A74EC">
            <w:pPr>
              <w:ind w:left="612"/>
              <w:rPr>
                <w:rFonts w:eastAsia="Calibri"/>
                <w:sz w:val="22"/>
                <w:szCs w:val="22"/>
                <w:lang w:val="ro-RO" w:eastAsia="en-US"/>
              </w:rPr>
            </w:pPr>
            <w:r w:rsidRPr="00CE7A57">
              <w:rPr>
                <w:sz w:val="22"/>
                <w:szCs w:val="22"/>
                <w:lang w:val="ro-RO"/>
              </w:rPr>
              <w:t xml:space="preserve">4.2.1. </w:t>
            </w:r>
            <w:r w:rsidRPr="00CE7A57">
              <w:rPr>
                <w:rFonts w:eastAsia="Calibri"/>
                <w:sz w:val="22"/>
                <w:szCs w:val="22"/>
                <w:lang w:val="ro-RO" w:eastAsia="en-US"/>
              </w:rPr>
              <w:t>Zaharia Victor „Accesul la justiţie ca principiu al statului de drept” Teza de doctor în drept. Chisinau – 2006</w:t>
            </w:r>
          </w:p>
          <w:p w:rsidR="009C4A5B" w:rsidRPr="00CE7A57" w:rsidRDefault="009C4A5B" w:rsidP="005A74EC">
            <w:pPr>
              <w:tabs>
                <w:tab w:val="left" w:pos="900"/>
                <w:tab w:val="left" w:pos="1080"/>
              </w:tabs>
              <w:ind w:left="612"/>
              <w:jc w:val="both"/>
              <w:rPr>
                <w:sz w:val="22"/>
                <w:szCs w:val="22"/>
                <w:lang w:val="ro-RO"/>
              </w:rPr>
            </w:pPr>
            <w:r w:rsidRPr="00612C9E">
              <w:rPr>
                <w:sz w:val="22"/>
                <w:szCs w:val="22"/>
                <w:lang w:val="ro-RO"/>
              </w:rPr>
              <w:t>4.2.2.</w:t>
            </w:r>
            <w:r w:rsidRPr="00CE7A57">
              <w:rPr>
                <w:sz w:val="22"/>
                <w:szCs w:val="22"/>
                <w:lang w:val="ro-RO"/>
              </w:rPr>
              <w:t xml:space="preserve"> Negru Andrei, Consolidarea justiţiei în statul contemporan democratic (aspecte teoretico-practice)- Teza de doctor habilitat în drept.  Chisinau 2013. </w:t>
            </w:r>
          </w:p>
          <w:p w:rsidR="009C4A5B" w:rsidRPr="00CE7A57" w:rsidRDefault="009C4A5B" w:rsidP="005A74EC">
            <w:pPr>
              <w:tabs>
                <w:tab w:val="left" w:pos="900"/>
                <w:tab w:val="left" w:pos="1080"/>
              </w:tabs>
              <w:ind w:left="612"/>
              <w:jc w:val="both"/>
              <w:rPr>
                <w:sz w:val="22"/>
                <w:szCs w:val="22"/>
                <w:lang w:val="ro-RO"/>
              </w:rPr>
            </w:pPr>
            <w:r w:rsidRPr="00612C9E">
              <w:rPr>
                <w:sz w:val="22"/>
                <w:szCs w:val="22"/>
                <w:lang w:val="ro-RO"/>
              </w:rPr>
              <w:t>4.2.3.</w:t>
            </w:r>
            <w:r w:rsidRPr="00CE7A57">
              <w:rPr>
                <w:sz w:val="22"/>
                <w:szCs w:val="22"/>
                <w:lang w:val="ro-RO"/>
              </w:rPr>
              <w:t xml:space="preserve"> Savu Iuliana „Interpretarea dreptului (aspecte teopretice şi practice în statul de drept)”  Teza de doctor în drept. Chisinau– 2002</w:t>
            </w:r>
          </w:p>
          <w:p w:rsidR="009C4A5B" w:rsidRPr="00CE7A57" w:rsidRDefault="009C4A5B" w:rsidP="005A74EC">
            <w:pPr>
              <w:tabs>
                <w:tab w:val="left" w:pos="900"/>
                <w:tab w:val="left" w:pos="1080"/>
              </w:tabs>
              <w:ind w:left="612"/>
              <w:jc w:val="both"/>
              <w:rPr>
                <w:sz w:val="22"/>
                <w:szCs w:val="22"/>
                <w:lang w:val="ro-RO"/>
              </w:rPr>
            </w:pPr>
            <w:r w:rsidRPr="00CE7A57">
              <w:rPr>
                <w:sz w:val="22"/>
                <w:szCs w:val="22"/>
                <w:lang w:val="ro-RO"/>
              </w:rPr>
              <w:t>4.2.4. Jecev Ion – „Natura juridică a puterii de stat la etapa contemporană”  Teza de doctor în drept. Chisinau 2013.</w:t>
            </w:r>
          </w:p>
          <w:p w:rsidR="009C4A5B" w:rsidRPr="00CE7A57" w:rsidRDefault="009C4A5B" w:rsidP="005A74EC">
            <w:pPr>
              <w:tabs>
                <w:tab w:val="left" w:pos="900"/>
                <w:tab w:val="left" w:pos="1080"/>
              </w:tabs>
              <w:ind w:left="612"/>
              <w:jc w:val="both"/>
              <w:rPr>
                <w:sz w:val="22"/>
                <w:szCs w:val="22"/>
                <w:lang w:val="ro-RO"/>
              </w:rPr>
            </w:pPr>
            <w:r w:rsidRPr="00CE7A57">
              <w:rPr>
                <w:sz w:val="22"/>
                <w:szCs w:val="22"/>
                <w:lang w:val="ro-RO"/>
              </w:rPr>
              <w:t xml:space="preserve"> 4.2.5. Coca George „Interesul general şi drepturile fundamentale ale omului” Teza de doctor în drept. Chisinau – 2009.</w:t>
            </w:r>
          </w:p>
          <w:p w:rsidR="009C4A5B" w:rsidRPr="00CE7A57" w:rsidRDefault="009C4A5B" w:rsidP="005A74EC">
            <w:pPr>
              <w:numPr>
                <w:ilvl w:val="0"/>
                <w:numId w:val="1"/>
              </w:numPr>
              <w:rPr>
                <w:b/>
                <w:sz w:val="22"/>
                <w:szCs w:val="22"/>
                <w:lang w:val="ro-RO"/>
              </w:rPr>
            </w:pPr>
            <w:r w:rsidRPr="00CE7A57">
              <w:rPr>
                <w:b/>
                <w:sz w:val="22"/>
                <w:szCs w:val="22"/>
                <w:lang w:val="ro-RO"/>
              </w:rPr>
              <w:t>Articole științifice din culegeri și reviste</w:t>
            </w:r>
          </w:p>
          <w:p w:rsidR="009C4A5B" w:rsidRPr="00CE7A57" w:rsidRDefault="009C4A5B" w:rsidP="005A74EC">
            <w:pPr>
              <w:pStyle w:val="Default"/>
              <w:numPr>
                <w:ilvl w:val="0"/>
                <w:numId w:val="2"/>
              </w:numPr>
              <w:tabs>
                <w:tab w:val="left" w:pos="612"/>
              </w:tabs>
              <w:spacing w:line="276" w:lineRule="auto"/>
              <w:ind w:left="612" w:hanging="180"/>
              <w:jc w:val="both"/>
              <w:rPr>
                <w:rFonts w:ascii="Times New Roman" w:hAnsi="Times New Roman" w:cs="Times New Roman"/>
                <w:color w:val="auto"/>
                <w:sz w:val="22"/>
                <w:szCs w:val="22"/>
                <w:lang w:val="ro-RO"/>
              </w:rPr>
            </w:pPr>
            <w:r w:rsidRPr="00CE7A57">
              <w:rPr>
                <w:rFonts w:ascii="Times New Roman" w:hAnsi="Times New Roman" w:cs="Times New Roman"/>
                <w:color w:val="auto"/>
                <w:sz w:val="22"/>
                <w:szCs w:val="22"/>
                <w:lang w:val="ro-RO"/>
              </w:rPr>
              <w:t>Aramă Elena. Statul de drept şi puterea discreţionară a judecătorului. În: Edificarea statului de drept: Materialele conferinţei ştiinţifico-practice, Chişinău, 26-27 septembrie 2003. Chişinău: Bons Office, 2003, p. 291-295.</w:t>
            </w:r>
          </w:p>
          <w:p w:rsidR="009C4A5B" w:rsidRPr="00CE7A57" w:rsidRDefault="009C4A5B"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 COJOCARU VLADLEN. Tangenţe ale controlului de constituţionalitate şi convenţionalitate în materia drepturilor omului – www.constitutia.md/?page_id=758-0,5 c.a.</w:t>
            </w:r>
          </w:p>
          <w:p w:rsidR="009C4A5B" w:rsidRPr="00CE7A57" w:rsidRDefault="009C4A5B"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CE7A57">
              <w:rPr>
                <w:rFonts w:ascii="Times New Roman" w:hAnsi="Times New Roman"/>
                <w:sz w:val="22"/>
                <w:szCs w:val="22"/>
                <w:lang w:val="ro-RO"/>
              </w:rPr>
              <w:t>ARAMĂ, ELENA, COPTILEŢ, VALENTINA. Istoria dreptului românesc (manual) Chişinău: Cartea juridică, 2012. 22,5 c.a. 288 p.</w:t>
            </w:r>
          </w:p>
          <w:p w:rsidR="009C4A5B" w:rsidRPr="00CE7A57" w:rsidRDefault="009C4A5B" w:rsidP="005A74EC">
            <w:pPr>
              <w:pStyle w:val="EndnoteText"/>
              <w:numPr>
                <w:ilvl w:val="0"/>
                <w:numId w:val="2"/>
              </w:numPr>
              <w:tabs>
                <w:tab w:val="left" w:pos="612"/>
              </w:tabs>
              <w:spacing w:after="0"/>
              <w:ind w:left="612" w:hanging="180"/>
              <w:jc w:val="both"/>
              <w:rPr>
                <w:rFonts w:ascii="Times New Roman" w:hAnsi="Times New Roman"/>
                <w:sz w:val="22"/>
                <w:szCs w:val="22"/>
                <w:lang w:val="ro-RO"/>
              </w:rPr>
            </w:pPr>
            <w:r w:rsidRPr="00612C9E">
              <w:rPr>
                <w:rFonts w:ascii="Times New Roman" w:hAnsi="Times New Roman"/>
                <w:sz w:val="22"/>
                <w:szCs w:val="22"/>
                <w:lang w:val="ro-RO"/>
              </w:rPr>
              <w:t xml:space="preserve">ARAMĂ, ELENA, TAŞCĂ, MIHAI. M.G.Savenco. Legile locale din Basarabia şi jurisprudenţa Imperiului Rus. Chişinău: Cartea juridică, 2012. </w:t>
            </w:r>
            <w:r w:rsidRPr="00CE7A57">
              <w:rPr>
                <w:rFonts w:ascii="Times New Roman" w:hAnsi="Times New Roman"/>
                <w:sz w:val="22"/>
                <w:szCs w:val="22"/>
              </w:rPr>
              <w:t>8 c.a. - 131 p.</w:t>
            </w:r>
          </w:p>
        </w:tc>
      </w:tr>
    </w:tbl>
    <w:p w:rsidR="00612C9E" w:rsidRPr="00CD124F" w:rsidRDefault="00612C9E" w:rsidP="00612C9E">
      <w:pPr>
        <w:rPr>
          <w:sz w:val="22"/>
          <w:szCs w:val="22"/>
          <w:lang w:val="ro-RO"/>
        </w:rPr>
      </w:pPr>
    </w:p>
    <w:p w:rsidR="00612C9E" w:rsidRPr="00CD124F" w:rsidRDefault="00612C9E" w:rsidP="00612C9E">
      <w:pPr>
        <w:rPr>
          <w:i/>
          <w:sz w:val="22"/>
          <w:szCs w:val="22"/>
          <w:lang w:val="ro-RO"/>
        </w:rPr>
      </w:pPr>
    </w:p>
    <w:p w:rsidR="00612C9E" w:rsidRDefault="00612C9E" w:rsidP="00612C9E"/>
    <w:p w:rsidR="00072353" w:rsidRDefault="00032FF5"/>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EB0"/>
    <w:rsid w:val="00032FF5"/>
    <w:rsid w:val="00612C9E"/>
    <w:rsid w:val="006C4D59"/>
    <w:rsid w:val="00905732"/>
    <w:rsid w:val="009C3EB0"/>
    <w:rsid w:val="009C4A5B"/>
    <w:rsid w:val="00C93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A135"/>
  <w15:chartTrackingRefBased/>
  <w15:docId w15:val="{1C6460A4-77D3-46A2-AD35-AC9E281B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C9E"/>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612C9E"/>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612C9E"/>
    <w:rPr>
      <w:rFonts w:ascii="Calibri" w:eastAsia="Calibri" w:hAnsi="Calibri" w:cs="Times New Roman"/>
      <w:sz w:val="20"/>
      <w:szCs w:val="20"/>
    </w:rPr>
  </w:style>
  <w:style w:type="paragraph" w:customStyle="1" w:styleId="Default">
    <w:name w:val="Default"/>
    <w:rsid w:val="00612C9E"/>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612C9E"/>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612C9E"/>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612C9E"/>
    <w:pPr>
      <w:jc w:val="center"/>
    </w:pPr>
    <w:rPr>
      <w:b/>
      <w:sz w:val="28"/>
      <w:szCs w:val="20"/>
      <w:lang w:val="ro-RO"/>
    </w:rPr>
  </w:style>
  <w:style w:type="character" w:customStyle="1" w:styleId="TitleChar">
    <w:name w:val="Title Char"/>
    <w:basedOn w:val="DefaultParagraphFont"/>
    <w:link w:val="Title"/>
    <w:uiPriority w:val="10"/>
    <w:rsid w:val="00612C9E"/>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612C9E"/>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612C9E"/>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612C9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12C9E"/>
    <w:pPr>
      <w:widowControl w:val="0"/>
      <w:autoSpaceDE w:val="0"/>
      <w:autoSpaceDN w:val="0"/>
      <w:ind w:left="426"/>
    </w:pPr>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594</Words>
  <Characters>3391</Characters>
  <Application>Microsoft Office Word</Application>
  <DocSecurity>0</DocSecurity>
  <Lines>28</Lines>
  <Paragraphs>7</Paragraphs>
  <ScaleCrop>false</ScaleCrop>
  <Company>SPecialiST RePack</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7</cp:revision>
  <dcterms:created xsi:type="dcterms:W3CDTF">2026-04-22T12:04:00Z</dcterms:created>
  <dcterms:modified xsi:type="dcterms:W3CDTF">2026-04-22T13:36:00Z</dcterms:modified>
</cp:coreProperties>
</file>