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09" w:rsidRDefault="00001409" w:rsidP="00001409">
      <w:pPr>
        <w:ind w:firstLine="567"/>
        <w:rPr>
          <w:b/>
          <w:caps/>
          <w:sz w:val="22"/>
          <w:szCs w:val="22"/>
          <w:lang w:val="ro-RO"/>
        </w:rPr>
      </w:pPr>
    </w:p>
    <w:p w:rsidR="00001409" w:rsidRPr="00B340AB" w:rsidRDefault="00001409" w:rsidP="00001409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001409" w:rsidRPr="00B340AB" w:rsidRDefault="00001409" w:rsidP="00001409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001409" w:rsidRPr="0087679D" w:rsidRDefault="00001409" w:rsidP="00001409">
      <w:pPr>
        <w:pStyle w:val="BodyText"/>
        <w:spacing w:before="68"/>
        <w:ind w:left="1169" w:right="267"/>
        <w:jc w:val="right"/>
        <w:rPr>
          <w:b w:val="0"/>
          <w:spacing w:val="1"/>
          <w:sz w:val="24"/>
          <w:szCs w:val="24"/>
        </w:rPr>
      </w:pPr>
      <w:r w:rsidRPr="0087679D">
        <w:rPr>
          <w:b w:val="0"/>
          <w:sz w:val="24"/>
          <w:szCs w:val="24"/>
        </w:rPr>
        <w:t>Consiliul</w:t>
      </w:r>
      <w:r w:rsidRPr="0087679D">
        <w:rPr>
          <w:b w:val="0"/>
          <w:spacing w:val="6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Științific al USM</w:t>
      </w:r>
      <w:r w:rsidRPr="0087679D">
        <w:rPr>
          <w:b w:val="0"/>
          <w:spacing w:val="1"/>
          <w:sz w:val="24"/>
          <w:szCs w:val="24"/>
        </w:rPr>
        <w:t xml:space="preserve"> </w:t>
      </w:r>
    </w:p>
    <w:p w:rsidR="00001409" w:rsidRPr="0087679D" w:rsidRDefault="00001409" w:rsidP="00001409">
      <w:pPr>
        <w:pStyle w:val="BodyText"/>
        <w:spacing w:before="68"/>
        <w:ind w:left="1169" w:right="267"/>
        <w:jc w:val="right"/>
        <w:rPr>
          <w:b w:val="0"/>
          <w:sz w:val="24"/>
          <w:szCs w:val="24"/>
        </w:rPr>
      </w:pPr>
      <w:r w:rsidRPr="0087679D">
        <w:rPr>
          <w:b w:val="0"/>
          <w:sz w:val="24"/>
          <w:szCs w:val="24"/>
        </w:rPr>
        <w:t>Proces</w:t>
      </w:r>
      <w:r w:rsidRPr="0087679D">
        <w:rPr>
          <w:b w:val="0"/>
          <w:spacing w:val="-3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verbal</w:t>
      </w:r>
      <w:r w:rsidRPr="0087679D">
        <w:rPr>
          <w:b w:val="0"/>
          <w:spacing w:val="-3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nr.</w:t>
      </w:r>
      <w:r w:rsidRPr="0087679D">
        <w:rPr>
          <w:b w:val="0"/>
          <w:spacing w:val="1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2 din</w:t>
      </w:r>
      <w:r w:rsidRPr="0087679D">
        <w:rPr>
          <w:b w:val="0"/>
          <w:spacing w:val="-2"/>
          <w:sz w:val="24"/>
          <w:szCs w:val="24"/>
        </w:rPr>
        <w:t xml:space="preserve"> </w:t>
      </w:r>
      <w:r w:rsidRPr="0087679D">
        <w:rPr>
          <w:b w:val="0"/>
          <w:sz w:val="24"/>
          <w:szCs w:val="24"/>
        </w:rPr>
        <w:t>12.11.20</w:t>
      </w:r>
    </w:p>
    <w:p w:rsidR="00001409" w:rsidRDefault="00001409" w:rsidP="00001409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001409" w:rsidRDefault="00001409" w:rsidP="00001409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963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287"/>
      </w:tblGrid>
      <w:tr w:rsidR="00001409" w:rsidRPr="00612C9E" w:rsidTr="005D4A39">
        <w:trPr>
          <w:trHeight w:val="400"/>
        </w:trPr>
        <w:tc>
          <w:tcPr>
            <w:tcW w:w="2372" w:type="dxa"/>
            <w:gridSpan w:val="2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7267" w:type="dxa"/>
            <w:gridSpan w:val="5"/>
          </w:tcPr>
          <w:p w:rsidR="00001409" w:rsidRPr="00001409" w:rsidRDefault="00001409" w:rsidP="005D4A39">
            <w:pPr>
              <w:widowControl/>
              <w:autoSpaceDE/>
              <w:autoSpaceDN/>
              <w:jc w:val="center"/>
              <w:rPr>
                <w:b/>
                <w:lang w:val="pt-PT"/>
              </w:rPr>
            </w:pPr>
            <w:r w:rsidRPr="00001409">
              <w:rPr>
                <w:b/>
                <w:color w:val="000000"/>
                <w:sz w:val="21"/>
                <w:szCs w:val="21"/>
                <w:lang w:val="ro-RO"/>
              </w:rPr>
              <w:t>Problemele actuale privind reglementarea relațiilor de muncă și protecție socială / Medierea litigilor comerciale interne și internaționale</w:t>
            </w:r>
          </w:p>
        </w:tc>
      </w:tr>
      <w:tr w:rsidR="00001409" w:rsidRPr="00612C9E" w:rsidTr="005D4A39">
        <w:trPr>
          <w:trHeight w:val="355"/>
        </w:trPr>
        <w:tc>
          <w:tcPr>
            <w:tcW w:w="2372" w:type="dxa"/>
            <w:gridSpan w:val="2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7267" w:type="dxa"/>
            <w:gridSpan w:val="5"/>
          </w:tcPr>
          <w:p w:rsidR="00001409" w:rsidRPr="00612C9E" w:rsidRDefault="00001409" w:rsidP="005D4A39">
            <w:pPr>
              <w:pStyle w:val="TableParagraph"/>
              <w:ind w:left="108"/>
              <w:rPr>
                <w:b/>
                <w:sz w:val="24"/>
                <w:szCs w:val="24"/>
              </w:rPr>
            </w:pPr>
          </w:p>
        </w:tc>
      </w:tr>
      <w:tr w:rsidR="00001409" w:rsidRPr="00A6081F" w:rsidTr="005D4A39">
        <w:trPr>
          <w:trHeight w:val="397"/>
        </w:trPr>
        <w:tc>
          <w:tcPr>
            <w:tcW w:w="9639" w:type="dxa"/>
            <w:gridSpan w:val="7"/>
          </w:tcPr>
          <w:p w:rsidR="00001409" w:rsidRPr="00B340AB" w:rsidRDefault="00001409" w:rsidP="005D4A39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001409" w:rsidRDefault="00001409" w:rsidP="005D4A39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Programul de studii – </w:t>
            </w:r>
            <w:r w:rsidRPr="009D1577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553 Drept privat</w:t>
            </w:r>
          </w:p>
          <w:p w:rsidR="00001409" w:rsidRPr="00B340AB" w:rsidRDefault="00001409" w:rsidP="005D4A39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001409" w:rsidRPr="00A6081F" w:rsidRDefault="00001409" w:rsidP="005D4A39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="002E043F">
              <w:rPr>
                <w:b/>
                <w:bCs/>
                <w:sz w:val="24"/>
                <w:szCs w:val="24"/>
              </w:rPr>
              <w:t>S</w:t>
            </w:r>
            <w:bookmarkStart w:id="0" w:name="_GoBack"/>
            <w:bookmarkEnd w:id="0"/>
            <w:r w:rsidRPr="00612C9E">
              <w:rPr>
                <w:b/>
                <w:bCs/>
                <w:sz w:val="24"/>
                <w:szCs w:val="24"/>
              </w:rPr>
              <w:t>.O.01</w:t>
            </w:r>
          </w:p>
        </w:tc>
      </w:tr>
      <w:tr w:rsidR="00001409" w:rsidRPr="00B340AB" w:rsidTr="005D4A39">
        <w:trPr>
          <w:trHeight w:val="286"/>
        </w:trPr>
        <w:tc>
          <w:tcPr>
            <w:tcW w:w="6190" w:type="dxa"/>
            <w:gridSpan w:val="5"/>
          </w:tcPr>
          <w:p w:rsidR="00001409" w:rsidRPr="00B340AB" w:rsidRDefault="00001409" w:rsidP="005D4A39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001409" w:rsidRPr="00B340AB" w:rsidRDefault="00001409" w:rsidP="005D4A39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287" w:type="dxa"/>
            <w:vMerge w:val="restart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001409" w:rsidRPr="00B340AB" w:rsidTr="005D4A39">
        <w:trPr>
          <w:trHeight w:val="284"/>
        </w:trPr>
        <w:tc>
          <w:tcPr>
            <w:tcW w:w="1595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001409" w:rsidRPr="00B340AB" w:rsidRDefault="00001409" w:rsidP="005D4A39"/>
        </w:tc>
        <w:tc>
          <w:tcPr>
            <w:tcW w:w="2287" w:type="dxa"/>
            <w:vMerge/>
            <w:tcBorders>
              <w:top w:val="nil"/>
            </w:tcBorders>
          </w:tcPr>
          <w:p w:rsidR="00001409" w:rsidRPr="00B340AB" w:rsidRDefault="00001409" w:rsidP="005D4A39"/>
        </w:tc>
      </w:tr>
      <w:tr w:rsidR="00001409" w:rsidRPr="00B340AB" w:rsidTr="005D4A39">
        <w:trPr>
          <w:trHeight w:val="303"/>
        </w:trPr>
        <w:tc>
          <w:tcPr>
            <w:tcW w:w="1595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287" w:type="dxa"/>
          </w:tcPr>
          <w:p w:rsidR="00001409" w:rsidRPr="00B340AB" w:rsidRDefault="00001409" w:rsidP="005D4A39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001409" w:rsidRPr="00CD124F" w:rsidRDefault="00001409" w:rsidP="00001409">
      <w:pPr>
        <w:rPr>
          <w:b/>
          <w:i/>
          <w:sz w:val="22"/>
          <w:szCs w:val="22"/>
          <w:lang w:val="ro-RO"/>
        </w:rPr>
      </w:pPr>
    </w:p>
    <w:tbl>
      <w:tblPr>
        <w:tblW w:w="963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8024"/>
      </w:tblGrid>
      <w:tr w:rsidR="00001409" w:rsidRPr="00F55A62" w:rsidTr="005D4A39">
        <w:tc>
          <w:tcPr>
            <w:tcW w:w="1610" w:type="dxa"/>
            <w:vAlign w:val="center"/>
          </w:tcPr>
          <w:p w:rsidR="00001409" w:rsidRPr="00F55A62" w:rsidRDefault="00001409" w:rsidP="005D4A3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8024" w:type="dxa"/>
            <w:vAlign w:val="center"/>
          </w:tcPr>
          <w:p w:rsidR="00001409" w:rsidRPr="00D377E3" w:rsidRDefault="00001409" w:rsidP="00001409">
            <w:pPr>
              <w:jc w:val="both"/>
              <w:rPr>
                <w:color w:val="FF0000"/>
                <w:lang w:val="it-IT"/>
              </w:rPr>
            </w:pPr>
            <w:r w:rsidRPr="005148E7">
              <w:rPr>
                <w:snapToGrid w:val="0"/>
                <w:lang w:val="ro-RO"/>
              </w:rPr>
              <w:t>Aplicabilitatea practică a temelor studiate în cadrul Teoriei generale a dreptului muncii se justifică prin aceea că piața muncii este mereu în schimbare, apar noi fenomene dictate de regulile pieței, ceea ce ne-a determinat de a include acest curs în pregătirea doctorală a unui viitor doctor în drept</w:t>
            </w:r>
            <w:r>
              <w:rPr>
                <w:snapToGrid w:val="0"/>
                <w:lang w:val="ro-RO"/>
              </w:rPr>
              <w:t>./Medierea litigiilor de muncă are un loc bine determinat și important în reglarea litigiilor internaționale și interne. Acest mijloc juridic s-a demonstrat a fi eficient și pe plan financiar și profesional, garantând confidențialitate părților aflate în litigiu.</w:t>
            </w:r>
          </w:p>
        </w:tc>
      </w:tr>
      <w:tr w:rsidR="00001409" w:rsidRPr="00F55A62" w:rsidTr="005D4A39">
        <w:trPr>
          <w:trHeight w:val="3115"/>
        </w:trPr>
        <w:tc>
          <w:tcPr>
            <w:tcW w:w="1610" w:type="dxa"/>
            <w:vAlign w:val="center"/>
          </w:tcPr>
          <w:p w:rsidR="00001409" w:rsidRPr="00F55A62" w:rsidRDefault="00001409" w:rsidP="005D4A3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8024" w:type="dxa"/>
          </w:tcPr>
          <w:p w:rsidR="00126B36" w:rsidRPr="00126B36" w:rsidRDefault="00001409" w:rsidP="00126B36">
            <w:pPr>
              <w:jc w:val="both"/>
            </w:pPr>
            <w:r w:rsidRPr="00D377E3">
              <w:rPr>
                <w:i/>
                <w:szCs w:val="22"/>
                <w:lang w:val="ro-RO"/>
              </w:rPr>
              <w:t>Tema 1:</w:t>
            </w:r>
            <w:r w:rsidRPr="00D377E3">
              <w:rPr>
                <w:sz w:val="28"/>
              </w:rPr>
              <w:t xml:space="preserve"> </w:t>
            </w:r>
            <w:r w:rsidR="00126B36" w:rsidRPr="00126B36">
              <w:t>Noţiunea raportului juridic de muncă şi trăsăturile caracteristice ale acestuia.</w:t>
            </w:r>
          </w:p>
          <w:p w:rsidR="00126B36" w:rsidRPr="00126B36" w:rsidRDefault="00310F08" w:rsidP="00126B36">
            <w:pPr>
              <w:jc w:val="both"/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2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="00126B36" w:rsidRPr="00126B36">
              <w:t>Apariţia, modificarea, suspendarea şi stingerea raportului juridic de muncă.</w:t>
            </w:r>
          </w:p>
          <w:p w:rsidR="00126B36" w:rsidRDefault="00310F08" w:rsidP="00126B36">
            <w:pPr>
              <w:jc w:val="both"/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3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="00126B36" w:rsidRPr="00126B36">
              <w:t xml:space="preserve">Parteneriatul social în sfera muncii </w:t>
            </w:r>
          </w:p>
          <w:p w:rsidR="00310F08" w:rsidRPr="00310F08" w:rsidRDefault="00310F08" w:rsidP="00310F08"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4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>
              <w:t xml:space="preserve">  Egalitatea de șanse și nediscriminarea în relațiile de muncă </w:t>
            </w:r>
          </w:p>
          <w:p w:rsidR="00310F08" w:rsidRDefault="00310F08" w:rsidP="00310F08"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5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>
              <w:t xml:space="preserve">Reforma sistemelor de pensii în contextul îmbătrânirii populației </w:t>
            </w:r>
          </w:p>
          <w:p w:rsidR="00310F08" w:rsidRDefault="00310F08" w:rsidP="00310F08"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6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>
              <w:t xml:space="preserve"> Rolul dialogului social în reglementarea relațiilor de muncă </w:t>
            </w:r>
          </w:p>
          <w:p w:rsidR="00310F08" w:rsidRDefault="00310F08" w:rsidP="00310F08">
            <w:pPr>
              <w:jc w:val="both"/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7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>
              <w:t xml:space="preserve"> Protecția juridică a salariaților în caz de concediere</w:t>
            </w:r>
          </w:p>
          <w:p w:rsidR="00310F08" w:rsidRPr="00310F08" w:rsidRDefault="00310F08" w:rsidP="00310F08">
            <w:pPr>
              <w:jc w:val="both"/>
              <w:rPr>
                <w:color w:val="000000"/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 xml:space="preserve">8: </w:t>
            </w:r>
            <w:r w:rsidRPr="00310F08">
              <w:rPr>
                <w:color w:val="000000"/>
                <w:lang w:val="ro-RO"/>
              </w:rPr>
              <w:t>Rolul Organizaţiei Internaţionale a Muncii</w:t>
            </w:r>
          </w:p>
          <w:p w:rsidR="00310F08" w:rsidRPr="00310F08" w:rsidRDefault="00310F08" w:rsidP="00310F08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9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o-RO"/>
              </w:rPr>
              <w:t xml:space="preserve">Avantajele și limitele medierii față de arbitraj și instanțele judecătorești </w:t>
            </w:r>
          </w:p>
          <w:p w:rsidR="00310F08" w:rsidRPr="00310F08" w:rsidRDefault="00310F08" w:rsidP="00310F08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10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o-RO"/>
              </w:rPr>
              <w:t xml:space="preserve">Medierea în comerțul internațional: provocări juridice și culturale </w:t>
            </w:r>
          </w:p>
          <w:p w:rsidR="00310F08" w:rsidRPr="00310F08" w:rsidRDefault="00310F08" w:rsidP="00310F08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 xml:space="preserve">Tema </w:t>
            </w:r>
            <w:r>
              <w:rPr>
                <w:i/>
                <w:szCs w:val="22"/>
                <w:lang w:val="ro-RO"/>
              </w:rPr>
              <w:t>1</w:t>
            </w:r>
            <w:r w:rsidRPr="00D377E3">
              <w:rPr>
                <w:i/>
                <w:szCs w:val="22"/>
                <w:lang w:val="ro-RO"/>
              </w:rPr>
              <w:t>1: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o-RO"/>
              </w:rPr>
              <w:t xml:space="preserve"> Executarea acordurilor de mediere în dreptul național și internațional </w:t>
            </w:r>
          </w:p>
          <w:p w:rsidR="00310F08" w:rsidRPr="00310F08" w:rsidRDefault="00310F08" w:rsidP="00310F08">
            <w:pPr>
              <w:rPr>
                <w:lang w:val="ro-RO"/>
              </w:rPr>
            </w:pPr>
            <w:r w:rsidRPr="00D377E3">
              <w:rPr>
                <w:i/>
                <w:szCs w:val="22"/>
                <w:lang w:val="ro-RO"/>
              </w:rPr>
              <w:t>Tema 1</w:t>
            </w:r>
            <w:r>
              <w:rPr>
                <w:i/>
                <w:szCs w:val="22"/>
                <w:lang w:val="ro-RO"/>
              </w:rPr>
              <w:t>2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o-RO"/>
              </w:rPr>
              <w:t xml:space="preserve">Confidențialitatea în procedura de mediere comercială </w:t>
            </w:r>
          </w:p>
          <w:p w:rsidR="00310F08" w:rsidRDefault="00310F08" w:rsidP="00310F08">
            <w:pPr>
              <w:jc w:val="both"/>
              <w:rPr>
                <w:lang w:val="ru-RU"/>
              </w:rPr>
            </w:pPr>
            <w:r w:rsidRPr="00D377E3">
              <w:rPr>
                <w:i/>
                <w:szCs w:val="22"/>
                <w:lang w:val="ro-RO"/>
              </w:rPr>
              <w:t>Tema 1</w:t>
            </w:r>
            <w:r>
              <w:rPr>
                <w:i/>
                <w:szCs w:val="22"/>
                <w:lang w:val="ro-RO"/>
              </w:rPr>
              <w:t>3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D377E3">
              <w:rPr>
                <w:sz w:val="28"/>
              </w:rPr>
              <w:t xml:space="preserve"> </w:t>
            </w:r>
            <w:r w:rsidRPr="00310F08">
              <w:rPr>
                <w:lang w:val="ru-RU"/>
              </w:rPr>
              <w:t xml:space="preserve"> Rolul mediatorului în prevenirea escaladării conflictelor comerciale</w:t>
            </w:r>
          </w:p>
          <w:p w:rsidR="00310F08" w:rsidRPr="00126B36" w:rsidRDefault="00310F08" w:rsidP="00310F08">
            <w:pPr>
              <w:jc w:val="both"/>
              <w:rPr>
                <w:sz w:val="28"/>
              </w:rPr>
            </w:pPr>
            <w:r w:rsidRPr="00D377E3">
              <w:rPr>
                <w:i/>
                <w:szCs w:val="22"/>
                <w:lang w:val="ro-RO"/>
              </w:rPr>
              <w:t>Tema 1</w:t>
            </w:r>
            <w:r>
              <w:rPr>
                <w:i/>
                <w:szCs w:val="22"/>
                <w:lang w:val="ro-RO"/>
              </w:rPr>
              <w:t>4</w:t>
            </w:r>
            <w:r w:rsidRPr="00D377E3">
              <w:rPr>
                <w:i/>
                <w:szCs w:val="22"/>
                <w:lang w:val="ro-RO"/>
              </w:rPr>
              <w:t>:</w:t>
            </w:r>
            <w:r w:rsidRPr="00310F08">
              <w:rPr>
                <w:lang w:val="es-PE"/>
              </w:rPr>
              <w:t xml:space="preserve"> </w:t>
            </w:r>
            <w:r>
              <w:t>Armonizarea legislațiilor privind medierea la nivel european și internațional</w:t>
            </w:r>
          </w:p>
        </w:tc>
      </w:tr>
      <w:tr w:rsidR="00001409" w:rsidRPr="00F55A62" w:rsidTr="005D4A39">
        <w:tc>
          <w:tcPr>
            <w:tcW w:w="1610" w:type="dxa"/>
            <w:vAlign w:val="center"/>
          </w:tcPr>
          <w:p w:rsidR="00001409" w:rsidRDefault="00001409" w:rsidP="005D4A39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001409" w:rsidRPr="00F55A62" w:rsidRDefault="00001409" w:rsidP="005D4A39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8024" w:type="dxa"/>
            <w:vAlign w:val="center"/>
          </w:tcPr>
          <w:p w:rsidR="00001409" w:rsidRPr="00CE7A57" w:rsidRDefault="00001409" w:rsidP="005D4A39">
            <w:pPr>
              <w:spacing w:line="276" w:lineRule="auto"/>
              <w:rPr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Declaraţia Universală a Drepturilor Omului adoptată de Adunarea Generală a Organizaţiei Naţiunilor Unite la 10 decembrie </w:t>
            </w:r>
            <w:r>
              <w:rPr>
                <w:rFonts w:ascii="Times New Roman" w:hAnsi="Times New Roman"/>
                <w:color w:val="000000"/>
                <w:sz w:val="24"/>
              </w:rPr>
              <w:t>1948.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Pactul internaţional cu privire la drepturile economice, sociale şi culturale, adoptat de Adunarea Generală a Organizaţiei Naţiunilor Unite la 16 decemb</w:t>
            </w:r>
            <w:r>
              <w:rPr>
                <w:rFonts w:ascii="Times New Roman" w:hAnsi="Times New Roman"/>
                <w:color w:val="000000"/>
                <w:sz w:val="24"/>
              </w:rPr>
              <w:t>rie 1966.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Convenţiile Organizaţiei Internaţionale a Muncii, ratificate de către Republica Moldova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lastRenderedPageBreak/>
              <w:t>Carta Socială Europeană Revizuită, ratificată parţial de Parlamentul RM prin Legea organic</w:t>
            </w:r>
            <w:r>
              <w:rPr>
                <w:rFonts w:ascii="Times New Roman" w:hAnsi="Times New Roman"/>
                <w:color w:val="000000"/>
                <w:sz w:val="24"/>
              </w:rPr>
              <w:t>ă nr.484-XV din 28.09.2001.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Constituţia Republicii Mol</w:t>
            </w:r>
            <w:r>
              <w:rPr>
                <w:rFonts w:ascii="Times New Roman" w:hAnsi="Times New Roman"/>
                <w:color w:val="000000"/>
                <w:sz w:val="24"/>
              </w:rPr>
              <w:t>dova, adoptată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 la 29 iulie 1994.  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Codul muncii al Republicii Moldova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 adoptat la 28 martie 2003.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Codul civil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al Republicii Moldova, adoptat 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>la 06.06.2002.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Legea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>rivind ocuparea forţei de muncă şi protecţia socială a persoanelor aflat</w:t>
            </w:r>
            <w:r>
              <w:rPr>
                <w:rFonts w:ascii="Times New Roman" w:hAnsi="Times New Roman"/>
                <w:color w:val="000000"/>
                <w:sz w:val="24"/>
              </w:rPr>
              <w:t>e în căutarea unui loc de muncă,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 xml:space="preserve"> nr. 102-XV din 13</w:t>
            </w:r>
            <w:r>
              <w:rPr>
                <w:rFonts w:ascii="Times New Roman" w:hAnsi="Times New Roman"/>
                <w:color w:val="000000"/>
                <w:sz w:val="24"/>
              </w:rPr>
              <w:t>.03.2003</w:t>
            </w:r>
            <w:r w:rsidRPr="00A44FEB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E81E6A" w:rsidRPr="00A44FEB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1416"/>
                <w:tab w:val="left" w:pos="0"/>
                <w:tab w:val="left" w:pos="1118"/>
              </w:tabs>
              <w:spacing w:line="100" w:lineRule="atLeast"/>
              <w:ind w:left="409" w:right="-144" w:hanging="283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Legea sindicatelor, nr. 1129-XIV/2000.</w:t>
            </w:r>
          </w:p>
          <w:p w:rsid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A44FEB">
              <w:rPr>
                <w:rFonts w:ascii="Times New Roman" w:hAnsi="Times New Roman"/>
                <w:color w:val="000000"/>
                <w:sz w:val="24"/>
              </w:rPr>
              <w:t>Legea patronatelor, nr. 976-XIV din 11.0</w:t>
            </w:r>
            <w:r>
              <w:rPr>
                <w:rFonts w:ascii="Times New Roman" w:hAnsi="Times New Roman"/>
                <w:color w:val="000000"/>
                <w:sz w:val="24"/>
              </w:rPr>
              <w:t>5.2000.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Medierea conflictelor – Cătălin Zamfir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Medierea în Uniunea Europeană – Dorel Lupulescu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Legea medierii. Comentarii și explicații – colectiv de autori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Dreptul muncii – Alexandru Țiclea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Tratat de dreptul muncii – I.T. Ștefănescu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Medierea conflictelor de muncă – Marian Neagu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Dreptul muncii – Eduard Boișteanu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Dreptul muncii – Nicolae Romandaş</w:t>
            </w:r>
          </w:p>
          <w:p w:rsidR="00E81E6A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Organizația Internațională a Muncii – convenții și recomandări privind soluționarea conflictelor de muncă</w:t>
            </w:r>
          </w:p>
          <w:p w:rsidR="00001409" w:rsidRPr="00E81E6A" w:rsidRDefault="00E81E6A" w:rsidP="00E81E6A">
            <w:pPr>
              <w:pStyle w:val="level1"/>
              <w:widowControl/>
              <w:numPr>
                <w:ilvl w:val="1"/>
                <w:numId w:val="1"/>
              </w:numPr>
              <w:tabs>
                <w:tab w:val="clear" w:pos="360"/>
                <w:tab w:val="clear" w:pos="1416"/>
                <w:tab w:val="left" w:pos="0"/>
                <w:tab w:val="left" w:pos="409"/>
                <w:tab w:val="left" w:pos="1118"/>
              </w:tabs>
              <w:spacing w:line="100" w:lineRule="atLeast"/>
              <w:ind w:left="409" w:right="-144" w:hanging="409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E81E6A">
              <w:rPr>
                <w:rFonts w:ascii="Times New Roman" w:hAnsi="Times New Roman"/>
                <w:sz w:val="22"/>
                <w:szCs w:val="22"/>
              </w:rPr>
              <w:t>Consiliul de Mediere – ghiduri și materiale practice privind medierea</w:t>
            </w:r>
          </w:p>
        </w:tc>
      </w:tr>
    </w:tbl>
    <w:p w:rsidR="00001409" w:rsidRPr="00CD124F" w:rsidRDefault="00001409" w:rsidP="00001409">
      <w:pPr>
        <w:rPr>
          <w:sz w:val="22"/>
          <w:szCs w:val="22"/>
          <w:lang w:val="ro-RO"/>
        </w:rPr>
      </w:pPr>
    </w:p>
    <w:p w:rsidR="00001409" w:rsidRPr="00CD124F" w:rsidRDefault="00001409" w:rsidP="00001409">
      <w:pPr>
        <w:rPr>
          <w:i/>
          <w:sz w:val="22"/>
          <w:szCs w:val="22"/>
          <w:lang w:val="ro-RO"/>
        </w:rPr>
      </w:pPr>
    </w:p>
    <w:p w:rsidR="00001409" w:rsidRDefault="00001409" w:rsidP="00001409"/>
    <w:p w:rsidR="00001409" w:rsidRDefault="00001409" w:rsidP="00001409"/>
    <w:p w:rsidR="00072353" w:rsidRDefault="002E043F"/>
    <w:sectPr w:rsidR="00072353" w:rsidSect="00F32D3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singleLevel"/>
    <w:tmpl w:val="00000010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StarSymbol"/>
        <w:sz w:val="18"/>
        <w:szCs w:val="18"/>
      </w:rPr>
    </w:lvl>
  </w:abstractNum>
  <w:abstractNum w:abstractNumId="1" w15:restartNumberingAfterBreak="0">
    <w:nsid w:val="0D4010AC"/>
    <w:multiLevelType w:val="multilevel"/>
    <w:tmpl w:val="5E7ADA6C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Lucida Sans Unicode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28A73CB"/>
    <w:multiLevelType w:val="hybridMultilevel"/>
    <w:tmpl w:val="367C9E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53"/>
    <w:rsid w:val="00001409"/>
    <w:rsid w:val="00126B36"/>
    <w:rsid w:val="002E043F"/>
    <w:rsid w:val="00310F08"/>
    <w:rsid w:val="006C4D59"/>
    <w:rsid w:val="00A34653"/>
    <w:rsid w:val="00C93278"/>
    <w:rsid w:val="00E8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14C6"/>
  <w15:chartTrackingRefBased/>
  <w15:docId w15:val="{7F124195-4479-4228-B0C8-7495B64D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01409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001409"/>
    <w:rPr>
      <w:rFonts w:ascii="Calibri" w:eastAsia="Calibri" w:hAnsi="Calibri" w:cs="Times New Roman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001409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001409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001409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01409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0014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01409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paragraph" w:styleId="ListParagraph">
    <w:name w:val="List Paragraph"/>
    <w:basedOn w:val="Normal"/>
    <w:uiPriority w:val="34"/>
    <w:qFormat/>
    <w:rsid w:val="00001409"/>
    <w:pPr>
      <w:ind w:left="720"/>
      <w:contextualSpacing/>
    </w:pPr>
  </w:style>
  <w:style w:type="paragraph" w:customStyle="1" w:styleId="level1">
    <w:name w:val="_level1"/>
    <w:basedOn w:val="Normal"/>
    <w:rsid w:val="00E81E6A"/>
    <w:pPr>
      <w:widowControl w:val="0"/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ind w:left="360" w:hanging="360"/>
    </w:pPr>
    <w:rPr>
      <w:rFonts w:ascii="Arial" w:eastAsia="Lucida Sans Unicode" w:hAnsi="Arial"/>
      <w:kern w:val="1"/>
      <w:sz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1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541</Words>
  <Characters>3085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7</cp:revision>
  <dcterms:created xsi:type="dcterms:W3CDTF">2026-04-23T08:46:00Z</dcterms:created>
  <dcterms:modified xsi:type="dcterms:W3CDTF">2026-04-23T10:20:00Z</dcterms:modified>
</cp:coreProperties>
</file>