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F5C" w:rsidRDefault="00746F5C" w:rsidP="00746F5C">
      <w:pPr>
        <w:ind w:firstLine="567"/>
        <w:rPr>
          <w:b/>
          <w:caps/>
          <w:sz w:val="22"/>
          <w:szCs w:val="22"/>
          <w:lang w:val="ro-RO"/>
        </w:rPr>
      </w:pPr>
    </w:p>
    <w:p w:rsidR="00746F5C" w:rsidRPr="00B340AB" w:rsidRDefault="00746F5C" w:rsidP="00746F5C">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746F5C" w:rsidRPr="00B340AB" w:rsidRDefault="00746F5C" w:rsidP="00746F5C">
      <w:pPr>
        <w:pStyle w:val="BodyText"/>
        <w:spacing w:before="68"/>
        <w:ind w:left="1169" w:right="267"/>
        <w:jc w:val="right"/>
        <w:rPr>
          <w:spacing w:val="-47"/>
          <w:sz w:val="24"/>
          <w:szCs w:val="24"/>
        </w:rPr>
      </w:pPr>
      <w:r w:rsidRPr="00B340AB">
        <w:rPr>
          <w:sz w:val="24"/>
          <w:szCs w:val="24"/>
        </w:rPr>
        <w:t>Aprobat:</w:t>
      </w:r>
      <w:r w:rsidRPr="00B340AB">
        <w:rPr>
          <w:spacing w:val="-47"/>
          <w:sz w:val="24"/>
          <w:szCs w:val="24"/>
        </w:rPr>
        <w:t xml:space="preserve">  </w:t>
      </w:r>
    </w:p>
    <w:p w:rsidR="00746F5C" w:rsidRPr="0087679D" w:rsidRDefault="00746F5C" w:rsidP="00746F5C">
      <w:pPr>
        <w:pStyle w:val="BodyText"/>
        <w:spacing w:before="68"/>
        <w:ind w:left="1169" w:right="267"/>
        <w:jc w:val="right"/>
        <w:rPr>
          <w:b w:val="0"/>
          <w:spacing w:val="1"/>
          <w:sz w:val="24"/>
          <w:szCs w:val="24"/>
        </w:rPr>
      </w:pPr>
      <w:r w:rsidRPr="0087679D">
        <w:rPr>
          <w:b w:val="0"/>
          <w:sz w:val="24"/>
          <w:szCs w:val="24"/>
        </w:rPr>
        <w:t>Consiliul</w:t>
      </w:r>
      <w:r w:rsidRPr="0087679D">
        <w:rPr>
          <w:b w:val="0"/>
          <w:spacing w:val="6"/>
          <w:sz w:val="24"/>
          <w:szCs w:val="24"/>
        </w:rPr>
        <w:t xml:space="preserve"> </w:t>
      </w:r>
      <w:r w:rsidRPr="0087679D">
        <w:rPr>
          <w:b w:val="0"/>
          <w:sz w:val="24"/>
          <w:szCs w:val="24"/>
        </w:rPr>
        <w:t>Științific al USM</w:t>
      </w:r>
      <w:r w:rsidRPr="0087679D">
        <w:rPr>
          <w:b w:val="0"/>
          <w:spacing w:val="1"/>
          <w:sz w:val="24"/>
          <w:szCs w:val="24"/>
        </w:rPr>
        <w:t xml:space="preserve"> </w:t>
      </w:r>
    </w:p>
    <w:p w:rsidR="00746F5C" w:rsidRPr="0087679D" w:rsidRDefault="00746F5C" w:rsidP="00746F5C">
      <w:pPr>
        <w:pStyle w:val="BodyText"/>
        <w:spacing w:before="68"/>
        <w:ind w:left="1169" w:right="267"/>
        <w:jc w:val="right"/>
        <w:rPr>
          <w:b w:val="0"/>
          <w:sz w:val="24"/>
          <w:szCs w:val="24"/>
        </w:rPr>
      </w:pPr>
      <w:r w:rsidRPr="0087679D">
        <w:rPr>
          <w:b w:val="0"/>
          <w:sz w:val="24"/>
          <w:szCs w:val="24"/>
        </w:rPr>
        <w:t>Proces</w:t>
      </w:r>
      <w:r w:rsidRPr="0087679D">
        <w:rPr>
          <w:b w:val="0"/>
          <w:spacing w:val="-3"/>
          <w:sz w:val="24"/>
          <w:szCs w:val="24"/>
        </w:rPr>
        <w:t xml:space="preserve"> </w:t>
      </w:r>
      <w:r w:rsidRPr="0087679D">
        <w:rPr>
          <w:b w:val="0"/>
          <w:sz w:val="24"/>
          <w:szCs w:val="24"/>
        </w:rPr>
        <w:t>verbal</w:t>
      </w:r>
      <w:r w:rsidRPr="0087679D">
        <w:rPr>
          <w:b w:val="0"/>
          <w:spacing w:val="-3"/>
          <w:sz w:val="24"/>
          <w:szCs w:val="24"/>
        </w:rPr>
        <w:t xml:space="preserve"> </w:t>
      </w:r>
      <w:r w:rsidRPr="0087679D">
        <w:rPr>
          <w:b w:val="0"/>
          <w:sz w:val="24"/>
          <w:szCs w:val="24"/>
        </w:rPr>
        <w:t>nr.</w:t>
      </w:r>
      <w:r w:rsidRPr="0087679D">
        <w:rPr>
          <w:b w:val="0"/>
          <w:spacing w:val="1"/>
          <w:sz w:val="24"/>
          <w:szCs w:val="24"/>
        </w:rPr>
        <w:t xml:space="preserve"> </w:t>
      </w:r>
      <w:r w:rsidRPr="0087679D">
        <w:rPr>
          <w:b w:val="0"/>
          <w:sz w:val="24"/>
          <w:szCs w:val="24"/>
        </w:rPr>
        <w:t>2 din</w:t>
      </w:r>
      <w:r w:rsidRPr="0087679D">
        <w:rPr>
          <w:b w:val="0"/>
          <w:spacing w:val="-2"/>
          <w:sz w:val="24"/>
          <w:szCs w:val="24"/>
        </w:rPr>
        <w:t xml:space="preserve"> </w:t>
      </w:r>
      <w:r w:rsidRPr="0087679D">
        <w:rPr>
          <w:b w:val="0"/>
          <w:sz w:val="24"/>
          <w:szCs w:val="24"/>
        </w:rPr>
        <w:t>12.11.20</w:t>
      </w:r>
    </w:p>
    <w:p w:rsidR="00746F5C" w:rsidRDefault="00746F5C" w:rsidP="00746F5C">
      <w:pPr>
        <w:ind w:firstLine="567"/>
        <w:jc w:val="center"/>
        <w:rPr>
          <w:b/>
          <w:caps/>
          <w:sz w:val="22"/>
          <w:szCs w:val="22"/>
          <w:lang w:val="ro-RO"/>
        </w:rPr>
      </w:pPr>
    </w:p>
    <w:p w:rsidR="00746F5C" w:rsidRDefault="00746F5C" w:rsidP="00746F5C">
      <w:pPr>
        <w:ind w:firstLine="567"/>
        <w:jc w:val="center"/>
        <w:rPr>
          <w:b/>
          <w:caps/>
          <w:sz w:val="22"/>
          <w:szCs w:val="22"/>
          <w:lang w:val="ro-RO"/>
        </w:rPr>
      </w:pPr>
    </w:p>
    <w:tbl>
      <w:tblPr>
        <w:tblStyle w:val="TableNormal1"/>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287"/>
      </w:tblGrid>
      <w:tr w:rsidR="00746F5C" w:rsidRPr="00612C9E" w:rsidTr="005D4A39">
        <w:trPr>
          <w:trHeight w:val="400"/>
        </w:trPr>
        <w:tc>
          <w:tcPr>
            <w:tcW w:w="2372" w:type="dxa"/>
            <w:gridSpan w:val="2"/>
          </w:tcPr>
          <w:p w:rsidR="00746F5C" w:rsidRPr="00B340AB" w:rsidRDefault="00746F5C" w:rsidP="005D4A39">
            <w:pPr>
              <w:pStyle w:val="TableParagraph"/>
              <w:spacing w:line="225" w:lineRule="exact"/>
              <w:ind w:left="107"/>
              <w:jc w:val="center"/>
              <w:rPr>
                <w:sz w:val="24"/>
                <w:szCs w:val="24"/>
              </w:rPr>
            </w:pPr>
            <w:r w:rsidRPr="00B340AB">
              <w:rPr>
                <w:sz w:val="24"/>
                <w:szCs w:val="24"/>
              </w:rPr>
              <w:t>Denumirea</w:t>
            </w:r>
            <w:r w:rsidRPr="00B340AB">
              <w:rPr>
                <w:spacing w:val="-4"/>
                <w:sz w:val="24"/>
                <w:szCs w:val="24"/>
              </w:rPr>
              <w:t xml:space="preserve"> </w:t>
            </w:r>
            <w:r w:rsidRPr="00B340AB">
              <w:rPr>
                <w:sz w:val="24"/>
                <w:szCs w:val="24"/>
              </w:rPr>
              <w:t>disciplinei</w:t>
            </w:r>
          </w:p>
        </w:tc>
        <w:tc>
          <w:tcPr>
            <w:tcW w:w="7267" w:type="dxa"/>
            <w:gridSpan w:val="5"/>
          </w:tcPr>
          <w:p w:rsidR="00746F5C" w:rsidRPr="00C16EE9" w:rsidRDefault="00C16EE9" w:rsidP="005D4A39">
            <w:pPr>
              <w:widowControl/>
              <w:autoSpaceDE/>
              <w:autoSpaceDN/>
              <w:jc w:val="center"/>
              <w:rPr>
                <w:b/>
                <w:lang w:val="pt-PT"/>
              </w:rPr>
            </w:pPr>
            <w:r w:rsidRPr="00C16EE9">
              <w:rPr>
                <w:b/>
                <w:color w:val="000000"/>
                <w:szCs w:val="21"/>
                <w:lang w:val="ro-RO"/>
              </w:rPr>
              <w:t>Tendințe de dezvoltare a procesului civil în Republica Moldova / Probleme actuale ale instituţiei insolvabilităţii</w:t>
            </w:r>
          </w:p>
        </w:tc>
      </w:tr>
      <w:tr w:rsidR="00746F5C" w:rsidRPr="00612C9E" w:rsidTr="005D4A39">
        <w:trPr>
          <w:trHeight w:val="355"/>
        </w:trPr>
        <w:tc>
          <w:tcPr>
            <w:tcW w:w="2372" w:type="dxa"/>
            <w:gridSpan w:val="2"/>
          </w:tcPr>
          <w:p w:rsidR="00746F5C" w:rsidRPr="00B340AB" w:rsidRDefault="00746F5C" w:rsidP="005D4A39">
            <w:pPr>
              <w:pStyle w:val="TableParagraph"/>
              <w:spacing w:line="225" w:lineRule="exact"/>
              <w:ind w:left="107"/>
              <w:rPr>
                <w:sz w:val="24"/>
                <w:szCs w:val="24"/>
              </w:rPr>
            </w:pPr>
            <w:r w:rsidRPr="00B340AB">
              <w:rPr>
                <w:sz w:val="24"/>
                <w:szCs w:val="24"/>
              </w:rPr>
              <w:t>Titularul</w:t>
            </w:r>
            <w:r w:rsidRPr="00B340AB">
              <w:rPr>
                <w:spacing w:val="-3"/>
                <w:sz w:val="24"/>
                <w:szCs w:val="24"/>
              </w:rPr>
              <w:t xml:space="preserve"> </w:t>
            </w:r>
            <w:r w:rsidRPr="00B340AB">
              <w:rPr>
                <w:sz w:val="24"/>
                <w:szCs w:val="24"/>
              </w:rPr>
              <w:t>disciplinei</w:t>
            </w:r>
          </w:p>
        </w:tc>
        <w:tc>
          <w:tcPr>
            <w:tcW w:w="7267" w:type="dxa"/>
            <w:gridSpan w:val="5"/>
          </w:tcPr>
          <w:p w:rsidR="00746F5C" w:rsidRPr="00612C9E" w:rsidRDefault="00746F5C" w:rsidP="005D4A39">
            <w:pPr>
              <w:pStyle w:val="TableParagraph"/>
              <w:ind w:left="108"/>
              <w:rPr>
                <w:b/>
                <w:sz w:val="24"/>
                <w:szCs w:val="24"/>
              </w:rPr>
            </w:pPr>
          </w:p>
        </w:tc>
      </w:tr>
      <w:tr w:rsidR="00746F5C" w:rsidRPr="00A6081F" w:rsidTr="005D4A39">
        <w:trPr>
          <w:trHeight w:val="397"/>
        </w:trPr>
        <w:tc>
          <w:tcPr>
            <w:tcW w:w="9639" w:type="dxa"/>
            <w:gridSpan w:val="7"/>
          </w:tcPr>
          <w:p w:rsidR="00746F5C" w:rsidRPr="00B340AB" w:rsidRDefault="00746F5C" w:rsidP="005D4A39">
            <w:pPr>
              <w:rPr>
                <w:b/>
                <w:bCs/>
                <w:lang w:val="ro-RO"/>
              </w:rPr>
            </w:pPr>
            <w:r w:rsidRPr="00B340AB">
              <w:rPr>
                <w:b/>
                <w:bCs/>
                <w:lang w:val="ro-RO"/>
              </w:rPr>
              <w:t>Ciclul III, Doctorat</w:t>
            </w:r>
          </w:p>
          <w:p w:rsidR="00746F5C" w:rsidRDefault="00746F5C" w:rsidP="005D4A39">
            <w:pPr>
              <w:rPr>
                <w:rFonts w:eastAsia="Calibri"/>
                <w:b/>
                <w:bCs/>
                <w:noProof/>
                <w:color w:val="000000" w:themeColor="text1"/>
                <w:lang w:val="ro-RO"/>
              </w:rPr>
            </w:pPr>
            <w:r w:rsidRPr="00612C9E">
              <w:rPr>
                <w:rFonts w:eastAsia="Calibri"/>
                <w:b/>
                <w:bCs/>
                <w:noProof/>
                <w:color w:val="000000" w:themeColor="text1"/>
                <w:lang w:val="ro-RO"/>
              </w:rPr>
              <w:t xml:space="preserve">Programul de studii – </w:t>
            </w:r>
            <w:r w:rsidRPr="009D1577">
              <w:rPr>
                <w:rFonts w:eastAsia="Calibri"/>
                <w:b/>
                <w:bCs/>
                <w:noProof/>
                <w:color w:val="000000" w:themeColor="text1"/>
                <w:lang w:val="ro-RO"/>
              </w:rPr>
              <w:t>553 Drept privat</w:t>
            </w:r>
          </w:p>
          <w:p w:rsidR="00746F5C" w:rsidRPr="00B340AB" w:rsidRDefault="00746F5C" w:rsidP="005D4A39">
            <w:pPr>
              <w:rPr>
                <w:b/>
                <w:bCs/>
                <w:lang w:val="ro-RO"/>
              </w:rPr>
            </w:pPr>
            <w:r w:rsidRPr="00B340AB">
              <w:rPr>
                <w:b/>
                <w:bCs/>
                <w:lang w:val="ro-RO"/>
              </w:rPr>
              <w:t>Anul</w:t>
            </w:r>
            <w:r>
              <w:rPr>
                <w:b/>
                <w:bCs/>
                <w:lang w:val="ro-RO"/>
              </w:rPr>
              <w:t xml:space="preserve"> de studii: Anul I, semestrul I</w:t>
            </w:r>
          </w:p>
          <w:p w:rsidR="00746F5C" w:rsidRPr="00A6081F" w:rsidRDefault="00746F5C" w:rsidP="005D4A39">
            <w:pPr>
              <w:pStyle w:val="TableParagraph"/>
              <w:ind w:left="0"/>
              <w:rPr>
                <w:b/>
                <w:sz w:val="24"/>
                <w:szCs w:val="24"/>
                <w:lang w:val="fr-FR"/>
              </w:rPr>
            </w:pPr>
            <w:r w:rsidRPr="00B340AB">
              <w:rPr>
                <w:b/>
                <w:bCs/>
                <w:sz w:val="24"/>
                <w:szCs w:val="24"/>
              </w:rPr>
              <w:t xml:space="preserve">Codul disciplinei: </w:t>
            </w:r>
            <w:r w:rsidR="00AA02CC">
              <w:rPr>
                <w:b/>
                <w:bCs/>
                <w:sz w:val="24"/>
                <w:szCs w:val="24"/>
              </w:rPr>
              <w:t>S</w:t>
            </w:r>
            <w:r w:rsidR="008E739E">
              <w:rPr>
                <w:b/>
                <w:bCs/>
                <w:sz w:val="24"/>
                <w:szCs w:val="24"/>
              </w:rPr>
              <w:t>.O.02</w:t>
            </w:r>
            <w:bookmarkStart w:id="0" w:name="_GoBack"/>
            <w:bookmarkEnd w:id="0"/>
          </w:p>
        </w:tc>
      </w:tr>
      <w:tr w:rsidR="00746F5C" w:rsidRPr="00B340AB" w:rsidTr="005D4A39">
        <w:trPr>
          <w:trHeight w:val="286"/>
        </w:trPr>
        <w:tc>
          <w:tcPr>
            <w:tcW w:w="6190" w:type="dxa"/>
            <w:gridSpan w:val="5"/>
          </w:tcPr>
          <w:p w:rsidR="00746F5C" w:rsidRPr="00B340AB" w:rsidRDefault="00746F5C" w:rsidP="005D4A39">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746F5C" w:rsidRPr="00B340AB" w:rsidRDefault="00746F5C" w:rsidP="005D4A39">
            <w:pPr>
              <w:pStyle w:val="TableParagraph"/>
              <w:spacing w:before="139"/>
              <w:ind w:left="0"/>
              <w:jc w:val="center"/>
              <w:rPr>
                <w:sz w:val="24"/>
                <w:szCs w:val="24"/>
              </w:rPr>
            </w:pPr>
            <w:r w:rsidRPr="00B340AB">
              <w:rPr>
                <w:sz w:val="24"/>
                <w:szCs w:val="24"/>
              </w:rPr>
              <w:t>Nr de credite</w:t>
            </w:r>
          </w:p>
        </w:tc>
        <w:tc>
          <w:tcPr>
            <w:tcW w:w="2287" w:type="dxa"/>
            <w:vMerge w:val="restart"/>
          </w:tcPr>
          <w:p w:rsidR="00746F5C" w:rsidRPr="00B340AB" w:rsidRDefault="00746F5C" w:rsidP="005D4A39">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746F5C" w:rsidRPr="00B340AB" w:rsidTr="005D4A39">
        <w:trPr>
          <w:trHeight w:val="284"/>
        </w:trPr>
        <w:tc>
          <w:tcPr>
            <w:tcW w:w="1595" w:type="dxa"/>
          </w:tcPr>
          <w:p w:rsidR="00746F5C" w:rsidRPr="00B340AB" w:rsidRDefault="00746F5C" w:rsidP="005D4A39">
            <w:pPr>
              <w:pStyle w:val="TableParagraph"/>
              <w:spacing w:line="225" w:lineRule="exact"/>
              <w:ind w:left="142" w:right="691"/>
              <w:rPr>
                <w:sz w:val="24"/>
                <w:szCs w:val="24"/>
              </w:rPr>
            </w:pPr>
            <w:r w:rsidRPr="00B340AB">
              <w:rPr>
                <w:sz w:val="24"/>
                <w:szCs w:val="24"/>
              </w:rPr>
              <w:t>Total</w:t>
            </w:r>
          </w:p>
        </w:tc>
        <w:tc>
          <w:tcPr>
            <w:tcW w:w="1086" w:type="dxa"/>
            <w:gridSpan w:val="2"/>
          </w:tcPr>
          <w:p w:rsidR="00746F5C" w:rsidRPr="00B340AB" w:rsidRDefault="00746F5C" w:rsidP="005D4A39">
            <w:pPr>
              <w:pStyle w:val="TableParagraph"/>
              <w:spacing w:line="225" w:lineRule="exact"/>
              <w:ind w:left="111"/>
              <w:rPr>
                <w:sz w:val="24"/>
                <w:szCs w:val="24"/>
              </w:rPr>
            </w:pPr>
            <w:r w:rsidRPr="00B340AB">
              <w:rPr>
                <w:sz w:val="24"/>
                <w:szCs w:val="24"/>
              </w:rPr>
              <w:t>Prelegeri</w:t>
            </w:r>
          </w:p>
        </w:tc>
        <w:tc>
          <w:tcPr>
            <w:tcW w:w="1431" w:type="dxa"/>
          </w:tcPr>
          <w:p w:rsidR="00746F5C" w:rsidRPr="00B340AB" w:rsidRDefault="00746F5C" w:rsidP="005D4A39">
            <w:pPr>
              <w:pStyle w:val="TableParagraph"/>
              <w:spacing w:line="225" w:lineRule="exact"/>
              <w:ind w:left="0" w:right="427"/>
              <w:rPr>
                <w:sz w:val="24"/>
                <w:szCs w:val="24"/>
              </w:rPr>
            </w:pPr>
            <w:r w:rsidRPr="00B340AB">
              <w:rPr>
                <w:sz w:val="24"/>
                <w:szCs w:val="24"/>
              </w:rPr>
              <w:t>Seminare</w:t>
            </w:r>
          </w:p>
        </w:tc>
        <w:tc>
          <w:tcPr>
            <w:tcW w:w="2078" w:type="dxa"/>
          </w:tcPr>
          <w:p w:rsidR="00746F5C" w:rsidRPr="00B340AB" w:rsidRDefault="00746F5C" w:rsidP="005D4A39">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746F5C" w:rsidRPr="00B340AB" w:rsidRDefault="00746F5C" w:rsidP="005D4A39"/>
        </w:tc>
        <w:tc>
          <w:tcPr>
            <w:tcW w:w="2287" w:type="dxa"/>
            <w:vMerge/>
            <w:tcBorders>
              <w:top w:val="nil"/>
            </w:tcBorders>
          </w:tcPr>
          <w:p w:rsidR="00746F5C" w:rsidRPr="00B340AB" w:rsidRDefault="00746F5C" w:rsidP="005D4A39"/>
        </w:tc>
      </w:tr>
      <w:tr w:rsidR="00746F5C" w:rsidRPr="00B340AB" w:rsidTr="005D4A39">
        <w:trPr>
          <w:trHeight w:val="303"/>
        </w:trPr>
        <w:tc>
          <w:tcPr>
            <w:tcW w:w="1595" w:type="dxa"/>
          </w:tcPr>
          <w:p w:rsidR="00746F5C" w:rsidRPr="00B340AB" w:rsidRDefault="00746F5C" w:rsidP="005D4A39">
            <w:pPr>
              <w:pStyle w:val="TableParagraph"/>
              <w:spacing w:line="225" w:lineRule="exact"/>
              <w:ind w:right="688"/>
              <w:rPr>
                <w:sz w:val="24"/>
                <w:szCs w:val="24"/>
              </w:rPr>
            </w:pPr>
            <w:r>
              <w:rPr>
                <w:sz w:val="24"/>
                <w:szCs w:val="24"/>
              </w:rPr>
              <w:t>240</w:t>
            </w:r>
          </w:p>
        </w:tc>
        <w:tc>
          <w:tcPr>
            <w:tcW w:w="1086" w:type="dxa"/>
            <w:gridSpan w:val="2"/>
          </w:tcPr>
          <w:p w:rsidR="00746F5C" w:rsidRPr="00B340AB" w:rsidRDefault="00746F5C" w:rsidP="005D4A39">
            <w:pPr>
              <w:pStyle w:val="TableParagraph"/>
              <w:spacing w:line="225" w:lineRule="exact"/>
              <w:ind w:left="9"/>
              <w:jc w:val="center"/>
              <w:rPr>
                <w:sz w:val="24"/>
                <w:szCs w:val="24"/>
              </w:rPr>
            </w:pPr>
            <w:r>
              <w:rPr>
                <w:w w:val="99"/>
                <w:sz w:val="24"/>
                <w:szCs w:val="24"/>
              </w:rPr>
              <w:t>6</w:t>
            </w:r>
          </w:p>
        </w:tc>
        <w:tc>
          <w:tcPr>
            <w:tcW w:w="1431" w:type="dxa"/>
          </w:tcPr>
          <w:p w:rsidR="00746F5C" w:rsidRPr="00B340AB" w:rsidRDefault="00746F5C" w:rsidP="005D4A39">
            <w:pPr>
              <w:pStyle w:val="TableParagraph"/>
              <w:spacing w:line="225" w:lineRule="exact"/>
              <w:ind w:left="13"/>
              <w:jc w:val="center"/>
              <w:rPr>
                <w:sz w:val="24"/>
                <w:szCs w:val="24"/>
              </w:rPr>
            </w:pPr>
            <w:r>
              <w:rPr>
                <w:sz w:val="24"/>
                <w:szCs w:val="24"/>
              </w:rPr>
              <w:t>10</w:t>
            </w:r>
          </w:p>
        </w:tc>
        <w:tc>
          <w:tcPr>
            <w:tcW w:w="2078" w:type="dxa"/>
          </w:tcPr>
          <w:p w:rsidR="00746F5C" w:rsidRPr="00B340AB" w:rsidRDefault="00746F5C" w:rsidP="005D4A39">
            <w:pPr>
              <w:pStyle w:val="TableParagraph"/>
              <w:spacing w:line="225" w:lineRule="exact"/>
              <w:ind w:left="497" w:right="482"/>
              <w:jc w:val="center"/>
              <w:rPr>
                <w:sz w:val="24"/>
                <w:szCs w:val="24"/>
              </w:rPr>
            </w:pPr>
            <w:r>
              <w:rPr>
                <w:sz w:val="24"/>
                <w:szCs w:val="24"/>
              </w:rPr>
              <w:t>224</w:t>
            </w:r>
          </w:p>
        </w:tc>
        <w:tc>
          <w:tcPr>
            <w:tcW w:w="1162" w:type="dxa"/>
          </w:tcPr>
          <w:p w:rsidR="00746F5C" w:rsidRPr="00B340AB" w:rsidRDefault="00746F5C" w:rsidP="005D4A39">
            <w:pPr>
              <w:pStyle w:val="TableParagraph"/>
              <w:spacing w:line="225" w:lineRule="exact"/>
              <w:ind w:left="12"/>
              <w:jc w:val="center"/>
              <w:rPr>
                <w:sz w:val="24"/>
                <w:szCs w:val="24"/>
              </w:rPr>
            </w:pPr>
            <w:r>
              <w:rPr>
                <w:w w:val="99"/>
                <w:sz w:val="24"/>
                <w:szCs w:val="24"/>
              </w:rPr>
              <w:t>8</w:t>
            </w:r>
          </w:p>
        </w:tc>
        <w:tc>
          <w:tcPr>
            <w:tcW w:w="2287" w:type="dxa"/>
          </w:tcPr>
          <w:p w:rsidR="00746F5C" w:rsidRPr="00B340AB" w:rsidRDefault="00746F5C" w:rsidP="005D4A39">
            <w:pPr>
              <w:pStyle w:val="TableParagraph"/>
              <w:spacing w:line="225" w:lineRule="exact"/>
              <w:ind w:right="729"/>
              <w:rPr>
                <w:sz w:val="24"/>
                <w:szCs w:val="24"/>
              </w:rPr>
            </w:pPr>
            <w:r w:rsidRPr="00B340AB">
              <w:rPr>
                <w:sz w:val="24"/>
                <w:szCs w:val="24"/>
              </w:rPr>
              <w:t>Examen</w:t>
            </w:r>
          </w:p>
        </w:tc>
      </w:tr>
    </w:tbl>
    <w:p w:rsidR="00746F5C" w:rsidRPr="00CD124F" w:rsidRDefault="00746F5C" w:rsidP="00746F5C">
      <w:pPr>
        <w:rPr>
          <w:b/>
          <w:i/>
          <w:sz w:val="22"/>
          <w:szCs w:val="22"/>
          <w:lang w:val="ro-RO"/>
        </w:rPr>
      </w:pP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8024"/>
      </w:tblGrid>
      <w:tr w:rsidR="00746F5C" w:rsidRPr="00F55A62" w:rsidTr="005D4A39">
        <w:tc>
          <w:tcPr>
            <w:tcW w:w="1610" w:type="dxa"/>
            <w:vAlign w:val="center"/>
          </w:tcPr>
          <w:p w:rsidR="00746F5C" w:rsidRPr="00F55A62" w:rsidRDefault="00746F5C" w:rsidP="005D4A39">
            <w:pPr>
              <w:jc w:val="center"/>
              <w:rPr>
                <w:b/>
                <w:sz w:val="22"/>
                <w:szCs w:val="22"/>
                <w:lang w:val="ro-RO"/>
              </w:rPr>
            </w:pPr>
            <w:r>
              <w:rPr>
                <w:b/>
                <w:sz w:val="22"/>
                <w:szCs w:val="22"/>
                <w:lang w:val="ro-RO"/>
              </w:rPr>
              <w:t>Fundamentare</w:t>
            </w:r>
          </w:p>
        </w:tc>
        <w:tc>
          <w:tcPr>
            <w:tcW w:w="8024" w:type="dxa"/>
            <w:vAlign w:val="center"/>
          </w:tcPr>
          <w:p w:rsidR="0069467A" w:rsidRDefault="0069467A" w:rsidP="0069467A">
            <w:pPr>
              <w:jc w:val="both"/>
              <w:rPr>
                <w:lang w:val="it-IT"/>
              </w:rPr>
            </w:pPr>
            <w:r w:rsidRPr="0069467A">
              <w:rPr>
                <w:lang w:val="it-IT"/>
              </w:rPr>
              <w:t xml:space="preserve">Cursul are ca obiect analiza evoluțiilor recente ale procedurii civile în contextul modernizării sistemului judiciar și al alinierii la standardele europene, inclusiv cele promovate de Consiliul Europei. Necesitatea disciplinei derivă din reformele legislative continue, digitalizarea justiției și accentuarea principiilor precum celeritatea, accesul efectiv la justiție și echitatea procesului./ </w:t>
            </w:r>
          </w:p>
          <w:p w:rsidR="00746F5C" w:rsidRPr="00D377E3" w:rsidRDefault="0069467A" w:rsidP="0069467A">
            <w:pPr>
              <w:jc w:val="both"/>
              <w:rPr>
                <w:color w:val="FF0000"/>
                <w:lang w:val="it-IT"/>
              </w:rPr>
            </w:pPr>
            <w:r>
              <w:rPr>
                <w:lang w:val="it-IT"/>
              </w:rPr>
              <w:t>Disciplina</w:t>
            </w:r>
            <w:r w:rsidRPr="0069467A">
              <w:rPr>
                <w:lang w:val="it-IT"/>
              </w:rPr>
              <w:t xml:space="preserve"> vizează analiza cadrului juridic privind prevenirea și gestionarea stării de insolvabilitate, în contextul transformărilor economice și al armonizării legislației cu standardele internaționale și europene, inclusiv recomandările Banca Mondială. Necesitatea cursului este determinată de creșterea numărului de proceduri de insolvabilitate și de importanța protejării echilibrului dintre interesele debitorilor și creditorilor. Se urmărește examinarea mecanismelor de restructurare, lichidare și prevenție, precum și identificarea problemelor practice în aplicarea legislației.</w:t>
            </w:r>
          </w:p>
        </w:tc>
      </w:tr>
      <w:tr w:rsidR="00746F5C" w:rsidRPr="00F55A62" w:rsidTr="005D4A39">
        <w:trPr>
          <w:trHeight w:val="3115"/>
        </w:trPr>
        <w:tc>
          <w:tcPr>
            <w:tcW w:w="1610" w:type="dxa"/>
            <w:vAlign w:val="center"/>
          </w:tcPr>
          <w:p w:rsidR="00746F5C" w:rsidRPr="00F55A62" w:rsidRDefault="00746F5C" w:rsidP="005D4A39">
            <w:pPr>
              <w:jc w:val="cente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8024" w:type="dxa"/>
          </w:tcPr>
          <w:p w:rsidR="00D31B0F" w:rsidRPr="00D31B0F" w:rsidRDefault="00746F5C" w:rsidP="00D31B0F">
            <w:pPr>
              <w:jc w:val="both"/>
            </w:pPr>
            <w:r w:rsidRPr="00D377E3">
              <w:rPr>
                <w:i/>
                <w:szCs w:val="22"/>
                <w:lang w:val="ro-RO"/>
              </w:rPr>
              <w:t>Tema 1:</w:t>
            </w:r>
            <w:r w:rsidRPr="00D377E3">
              <w:rPr>
                <w:sz w:val="28"/>
              </w:rPr>
              <w:t xml:space="preserve"> </w:t>
            </w:r>
            <w:r w:rsidR="00D31B0F" w:rsidRPr="00D31B0F">
              <w:t>Consolidarea principiilor de drept procesual prin intermediul practicii CtEDO</w:t>
            </w:r>
          </w:p>
          <w:p w:rsidR="00D31B0F" w:rsidRPr="00D31B0F" w:rsidRDefault="00D31B0F" w:rsidP="00D31B0F">
            <w:pPr>
              <w:jc w:val="both"/>
            </w:pPr>
            <w:r w:rsidRPr="00D31B0F">
              <w:t>Impactul optimizării hărții judecătorești asupra competenței instanțelor de judecată</w:t>
            </w:r>
          </w:p>
          <w:p w:rsidR="00D31B0F" w:rsidRPr="00D31B0F" w:rsidRDefault="00D31B0F" w:rsidP="00D31B0F">
            <w:pPr>
              <w:jc w:val="both"/>
            </w:pPr>
            <w:r w:rsidRPr="00D31B0F">
              <w:t>Costuri și cheltuieli în procesul înfăptuirii justiției civile</w:t>
            </w:r>
          </w:p>
          <w:p w:rsidR="00D31B0F" w:rsidRPr="00D31B0F" w:rsidRDefault="00D31B0F" w:rsidP="00D31B0F">
            <w:pPr>
              <w:jc w:val="both"/>
            </w:pPr>
            <w:r w:rsidRPr="00D31B0F">
              <w:t>Măsurile provizorii în procesul civil și impactul acestora asupra drepturilor justițiabililor</w:t>
            </w:r>
          </w:p>
          <w:p w:rsidR="00D31B0F" w:rsidRPr="00D31B0F" w:rsidRDefault="00D31B0F" w:rsidP="00D31B0F">
            <w:pPr>
              <w:jc w:val="both"/>
            </w:pPr>
            <w:r w:rsidRPr="00D31B0F">
              <w:t>Reguli noi de examinare în fond a cauzelor civile</w:t>
            </w:r>
          </w:p>
          <w:p w:rsidR="00746F5C" w:rsidRDefault="00D31B0F" w:rsidP="00D31B0F">
            <w:pPr>
              <w:jc w:val="both"/>
            </w:pPr>
            <w:r w:rsidRPr="00D31B0F">
              <w:t>Evaluarea efectelor puterii lucrului judecat și a riscurilor pierderii acestora</w:t>
            </w:r>
          </w:p>
          <w:p w:rsidR="00D31B0F" w:rsidRDefault="00D31B0F" w:rsidP="00D31B0F">
            <w:pPr>
              <w:ind w:left="72"/>
              <w:jc w:val="both"/>
              <w:rPr>
                <w:sz w:val="22"/>
                <w:szCs w:val="22"/>
              </w:rPr>
            </w:pPr>
            <w:r>
              <w:rPr>
                <w:sz w:val="22"/>
                <w:szCs w:val="22"/>
              </w:rPr>
              <w:t>Temeiurile de pornire a procesului de insolvabilitate în privinţa întreprinzătorilor;</w:t>
            </w:r>
          </w:p>
          <w:p w:rsidR="00D31B0F" w:rsidRPr="00D31B0F" w:rsidRDefault="00D31B0F" w:rsidP="00D31B0F">
            <w:pPr>
              <w:jc w:val="both"/>
            </w:pPr>
            <w:r w:rsidRPr="00D31B0F">
              <w:t>Statutul creditorilor în procedura de insolvabilitate</w:t>
            </w:r>
          </w:p>
          <w:p w:rsidR="00D31B0F" w:rsidRDefault="00D31B0F" w:rsidP="00D31B0F">
            <w:pPr>
              <w:jc w:val="both"/>
            </w:pPr>
            <w:r w:rsidRPr="00D31B0F">
              <w:t xml:space="preserve">Statutul administratorului autorizat </w:t>
            </w:r>
            <w:r>
              <w:t>în procesele de insolvabilitate.</w:t>
            </w:r>
          </w:p>
          <w:p w:rsidR="00D31B0F" w:rsidRPr="00D31B0F" w:rsidRDefault="00D31B0F" w:rsidP="00D31B0F">
            <w:pPr>
              <w:jc w:val="both"/>
            </w:pPr>
            <w:r w:rsidRPr="00D31B0F">
              <w:t xml:space="preserve">Încetarea procesului de insolvabilitate şi efectele lui. </w:t>
            </w:r>
          </w:p>
          <w:p w:rsidR="00D31B0F" w:rsidRPr="00D377E3" w:rsidRDefault="00D31B0F" w:rsidP="00D31B0F">
            <w:pPr>
              <w:jc w:val="both"/>
              <w:rPr>
                <w:b/>
                <w:sz w:val="28"/>
              </w:rPr>
            </w:pPr>
            <w:r w:rsidRPr="00D31B0F">
              <w:t>Analize teoretice ale instituţiei insolvabilităţii în statele vecine şi în statele Uniunii Europene.</w:t>
            </w:r>
          </w:p>
        </w:tc>
      </w:tr>
      <w:tr w:rsidR="00746F5C" w:rsidRPr="00F55A62" w:rsidTr="005D4A39">
        <w:tc>
          <w:tcPr>
            <w:tcW w:w="1610" w:type="dxa"/>
            <w:vAlign w:val="center"/>
          </w:tcPr>
          <w:p w:rsidR="00746F5C" w:rsidRDefault="00746F5C" w:rsidP="005D4A39">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746F5C" w:rsidRPr="00F55A62" w:rsidRDefault="00746F5C" w:rsidP="005D4A39">
            <w:pPr>
              <w:jc w:val="center"/>
              <w:rPr>
                <w:b/>
                <w:sz w:val="22"/>
                <w:szCs w:val="22"/>
                <w:lang w:val="ro-RO"/>
              </w:rPr>
            </w:pPr>
          </w:p>
        </w:tc>
        <w:tc>
          <w:tcPr>
            <w:tcW w:w="8024" w:type="dxa"/>
            <w:vAlign w:val="center"/>
          </w:tcPr>
          <w:p w:rsidR="00746F5C" w:rsidRPr="00CE7A57" w:rsidRDefault="00746F5C" w:rsidP="005D4A39">
            <w:pPr>
              <w:spacing w:line="276" w:lineRule="auto"/>
              <w:rPr>
                <w:sz w:val="22"/>
                <w:szCs w:val="22"/>
                <w:lang w:val="ro-RO"/>
              </w:rPr>
            </w:pPr>
            <w:r w:rsidRPr="00CE7A57">
              <w:rPr>
                <w:b/>
                <w:sz w:val="22"/>
                <w:szCs w:val="22"/>
                <w:lang w:val="ro-RO"/>
              </w:rPr>
              <w:t>Bibliografia cursului:</w:t>
            </w:r>
          </w:p>
          <w:p w:rsidR="00746F5C" w:rsidRPr="00D377E3" w:rsidRDefault="00746F5C"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77E3">
              <w:rPr>
                <w:rFonts w:ascii="Times New Roman" w:hAnsi="Times New Roman"/>
                <w:sz w:val="22"/>
                <w:szCs w:val="22"/>
                <w:lang w:val="ro-RO"/>
              </w:rPr>
              <w:t>Constituția Republicii Moldova adoptată de Parlamentul Republicii Moldova la 29 iulie 1994 // Monitorul Oficial al Republicii Molova din 12.08.1994;</w:t>
            </w:r>
          </w:p>
          <w:p w:rsidR="00746F5C" w:rsidRPr="00D377E3" w:rsidRDefault="00746F5C"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77E3">
              <w:rPr>
                <w:rFonts w:ascii="Times New Roman" w:hAnsi="Times New Roman"/>
                <w:sz w:val="22"/>
                <w:szCs w:val="22"/>
                <w:lang w:val="ro-RO"/>
              </w:rPr>
              <w:t>Codul Civil al Republicii Moldova, Legea Nr.1107-XV din 06.06.2002 // Monitorul Oficial al Republicii Moldova Nr.82-86/661 din 22.06.2002;</w:t>
            </w:r>
          </w:p>
          <w:p w:rsidR="00746F5C" w:rsidRPr="00D377E3" w:rsidRDefault="00746F5C"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77E3">
              <w:rPr>
                <w:rFonts w:ascii="Times New Roman" w:hAnsi="Times New Roman"/>
                <w:sz w:val="22"/>
                <w:szCs w:val="22"/>
                <w:lang w:val="ro-RO"/>
              </w:rPr>
              <w:lastRenderedPageBreak/>
              <w:t>Codul Familiei al Republicii Moldova, adoptat prin Legea Nr.1316-XIV din 26.10.2000 // Monitorul Oficial al Republicii Moldova, adoptat prin Legea Nr.1316 – XIV din 26.04.2001</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 xml:space="preserve">Belei E., ș.a. Drept procesual civil. Partea generală. Chișinău. Editura Lexon și Editura Cartea Juridică, 2014. </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 xml:space="preserve">Poalelungi M. ș.a. Manualul judecătorului pentru cauze civile. Ediţia II. Chişinău: Tipografia centrală, 2013. </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 xml:space="preserve">Leş I. Noul Cod de procedură civilă. Comentariu pe articole. Art.1-1133. București: Editura C.H. Beck, 2013. </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 xml:space="preserve">Ciobanu V.M., ș.a.Noul Cod de procedură civilă comentat şi adnotat.  Vol.I. Art.1-526. București: Universul Juridic, 2013. </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 xml:space="preserve">Deleanu I. Tratat de procedură civilă. Volumul I. Ediţie revăzută, completată şi actualizată. Bucureşti: Universul Juridic, 2013. </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Boroi G., ș,a. Noul Cod de procedură civilă. Comentariu pe articole. Vol.I. Art. 1-526. București, Editura Hamangiu, 2013.</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Roşca Nicolae. Baieş Sergiu. Dreptul afacerilor. Firma editorial poligrafică „Tipografia Centrală”, Chişinău. 2011. 571 p.</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Bufan Radu, şi alţii. Tratat practic de insolvanţă. Editura Hamangiu. Bucureşti, 2014. 1073 pag.</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Legea insolvabilităţii; de la teorie la practică. Materiale pentru conferinţa ştiinfifică internaţională. Chişinău. 2014;</w:t>
            </w:r>
          </w:p>
          <w:p w:rsidR="00D31B0F"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V. Barbă, Gh. Macovei. Procedura de declarare a insolvabilităţii.//Manualul judecătorului pentru cauze civile. Chişinău. 2013. p.223-254;</w:t>
            </w:r>
          </w:p>
          <w:p w:rsidR="00746F5C" w:rsidRPr="00D31B0F" w:rsidRDefault="00D31B0F" w:rsidP="0069467A">
            <w:pPr>
              <w:pStyle w:val="EndnoteText"/>
              <w:numPr>
                <w:ilvl w:val="0"/>
                <w:numId w:val="1"/>
              </w:numPr>
              <w:tabs>
                <w:tab w:val="left" w:pos="409"/>
              </w:tabs>
              <w:spacing w:after="0" w:line="240" w:lineRule="auto"/>
              <w:ind w:left="409" w:hanging="409"/>
              <w:jc w:val="both"/>
              <w:rPr>
                <w:rFonts w:ascii="Times New Roman" w:hAnsi="Times New Roman"/>
                <w:sz w:val="22"/>
                <w:szCs w:val="22"/>
                <w:lang w:val="ro-RO"/>
              </w:rPr>
            </w:pPr>
            <w:r w:rsidRPr="00D31B0F">
              <w:rPr>
                <w:rFonts w:ascii="Times New Roman" w:hAnsi="Times New Roman"/>
                <w:sz w:val="22"/>
                <w:szCs w:val="22"/>
                <w:lang w:val="ro-RO"/>
              </w:rPr>
              <w:t>Roşca Nicolae. Instituţia falimentului în legislaţia Republicii Moldova. Chişinău. 2001.</w:t>
            </w:r>
          </w:p>
        </w:tc>
      </w:tr>
    </w:tbl>
    <w:p w:rsidR="00746F5C" w:rsidRPr="00CD124F" w:rsidRDefault="00746F5C" w:rsidP="00746F5C">
      <w:pPr>
        <w:rPr>
          <w:sz w:val="22"/>
          <w:szCs w:val="22"/>
          <w:lang w:val="ro-RO"/>
        </w:rPr>
      </w:pPr>
    </w:p>
    <w:p w:rsidR="00746F5C" w:rsidRPr="00CD124F" w:rsidRDefault="00746F5C" w:rsidP="00746F5C">
      <w:pPr>
        <w:rPr>
          <w:i/>
          <w:sz w:val="22"/>
          <w:szCs w:val="22"/>
          <w:lang w:val="ro-RO"/>
        </w:rPr>
      </w:pPr>
    </w:p>
    <w:p w:rsidR="00746F5C" w:rsidRDefault="00746F5C" w:rsidP="00746F5C"/>
    <w:p w:rsidR="00746F5C" w:rsidRDefault="00746F5C" w:rsidP="00746F5C"/>
    <w:p w:rsidR="00072353" w:rsidRDefault="008E739E"/>
    <w:sectPr w:rsidR="00072353" w:rsidSect="00F32D3B">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0C66C9"/>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28A73CB"/>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9BB"/>
    <w:rsid w:val="00256C87"/>
    <w:rsid w:val="0069467A"/>
    <w:rsid w:val="006C4D59"/>
    <w:rsid w:val="00746F5C"/>
    <w:rsid w:val="008E739E"/>
    <w:rsid w:val="00AA02CC"/>
    <w:rsid w:val="00C16EE9"/>
    <w:rsid w:val="00C93278"/>
    <w:rsid w:val="00CC09BB"/>
    <w:rsid w:val="00D31B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F9388"/>
  <w15:chartTrackingRefBased/>
  <w15:docId w15:val="{8C996D2B-0409-4421-8DDF-ED81202C2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F5C"/>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746F5C"/>
    <w:pPr>
      <w:spacing w:after="200" w:line="276" w:lineRule="auto"/>
    </w:pPr>
    <w:rPr>
      <w:rFonts w:ascii="Calibri" w:eastAsia="Calibri" w:hAnsi="Calibri"/>
      <w:sz w:val="20"/>
      <w:szCs w:val="20"/>
      <w:lang w:val="ru-RU" w:eastAsia="en-US"/>
    </w:rPr>
  </w:style>
  <w:style w:type="character" w:customStyle="1" w:styleId="EndnoteTextChar">
    <w:name w:val="Endnote Text Char"/>
    <w:basedOn w:val="DefaultParagraphFont"/>
    <w:link w:val="EndnoteText"/>
    <w:rsid w:val="00746F5C"/>
    <w:rPr>
      <w:rFonts w:ascii="Calibri" w:eastAsia="Calibri" w:hAnsi="Calibri" w:cs="Times New Roman"/>
      <w:sz w:val="20"/>
      <w:szCs w:val="20"/>
    </w:rPr>
  </w:style>
  <w:style w:type="paragraph" w:styleId="Title">
    <w:name w:val="Title"/>
    <w:basedOn w:val="Normal"/>
    <w:link w:val="TitleChar"/>
    <w:uiPriority w:val="10"/>
    <w:qFormat/>
    <w:rsid w:val="00746F5C"/>
    <w:pPr>
      <w:jc w:val="center"/>
    </w:pPr>
    <w:rPr>
      <w:b/>
      <w:sz w:val="28"/>
      <w:szCs w:val="20"/>
      <w:lang w:val="ro-RO"/>
    </w:rPr>
  </w:style>
  <w:style w:type="character" w:customStyle="1" w:styleId="TitleChar">
    <w:name w:val="Title Char"/>
    <w:basedOn w:val="DefaultParagraphFont"/>
    <w:link w:val="Title"/>
    <w:uiPriority w:val="10"/>
    <w:rsid w:val="00746F5C"/>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746F5C"/>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746F5C"/>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746F5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46F5C"/>
    <w:pPr>
      <w:widowControl w:val="0"/>
      <w:autoSpaceDE w:val="0"/>
      <w:autoSpaceDN w:val="0"/>
      <w:ind w:left="426"/>
    </w:pPr>
    <w:rPr>
      <w:sz w:val="22"/>
      <w:szCs w:val="22"/>
      <w:lang w:val="ro-RO" w:eastAsia="en-US"/>
    </w:rPr>
  </w:style>
  <w:style w:type="paragraph" w:styleId="ListParagraph">
    <w:name w:val="List Paragraph"/>
    <w:basedOn w:val="Normal"/>
    <w:uiPriority w:val="34"/>
    <w:qFormat/>
    <w:rsid w:val="00746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618</Words>
  <Characters>3527</Characters>
  <Application>Microsoft Office Word</Application>
  <DocSecurity>0</DocSecurity>
  <Lines>29</Lines>
  <Paragraphs>8</Paragraphs>
  <ScaleCrop>false</ScaleCrop>
  <Company>SPecialiST RePack</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10</cp:revision>
  <dcterms:created xsi:type="dcterms:W3CDTF">2026-04-23T09:05:00Z</dcterms:created>
  <dcterms:modified xsi:type="dcterms:W3CDTF">2026-04-23T10:20:00Z</dcterms:modified>
</cp:coreProperties>
</file>