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E16105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Profilul științific</w:t>
            </w:r>
          </w:p>
        </w:tc>
        <w:tc>
          <w:tcPr>
            <w:tcW w:w="8238" w:type="dxa"/>
            <w:gridSpan w:val="4"/>
          </w:tcPr>
          <w:p w:rsidR="007C6821" w:rsidRPr="00F3291B" w:rsidRDefault="007C6821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Sociologie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7E5EA2" w:rsidRDefault="00000000" w:rsidP="007E5EA2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bCs/>
              </w:rPr>
              <w:t>S.01.O.7.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lang w:val="ro-MD"/>
              </w:rPr>
              <w:t>Fenomene și tendințe contemporane în cercetarea sociologică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S.01.O.7.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7E5EA2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9D4F52">
        <w:trPr>
          <w:trHeight w:val="2412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9D4F52" w:rsidP="00F3291B">
            <w:pPr>
              <w:pStyle w:val="TableParagraph"/>
              <w:ind w:left="0" w:right="215"/>
              <w:jc w:val="both"/>
            </w:pPr>
            <w:r>
              <w:t>Scopul disciplinei constă în formarea unei viziuni de ansamblu referitoare la fenomenele și tendințele contemporane în sociologie. Cursul oferă posibilitatea de a cunoaște concepte și redimensionări conceptuale datorate evoluției contextuale și cristalizării autonomiei și interdisciplinarității sociologiei.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sociologie,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sociologiei.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sociologice valorile și practica sociologiei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F3291B" w:rsidRDefault="00000000" w:rsidP="00F3291B">
            <w:pPr>
              <w:rPr>
                <w:spacing w:val="-4"/>
              </w:rPr>
            </w:pPr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 xml:space="preserve">Administrarea proiectelor de cercetare în domeniul sociologiei și asistenței sociale. </w:t>
            </w:r>
          </w:p>
          <w:p w:rsidR="003B0B40" w:rsidRPr="00F3291B" w:rsidRDefault="00000000" w:rsidP="00F3291B">
            <w:pPr>
              <w:pStyle w:val="TableParagraph"/>
              <w:spacing w:before="1"/>
              <w:ind w:left="4" w:right="1202"/>
            </w:pPr>
            <w:r>
              <w:t>CP 2. Cercetarea și promovarea cunoștințelor sociologice.</w:t>
            </w:r>
          </w:p>
          <w:p w:rsidR="003B0B40" w:rsidRPr="00F3291B" w:rsidRDefault="00000000" w:rsidP="00F3291B">
            <w:pPr>
              <w:pStyle w:val="TableParagraph"/>
              <w:ind w:left="4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F3291B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Implementarea bunelor practici prin schimb de experiență între centrele de cercetare naționale și internaționale.</w:t>
            </w:r>
          </w:p>
          <w:p w:rsidR="00F3291B" w:rsidRDefault="00F3291B" w:rsidP="00F3291B">
            <w:r>
              <w:t>CP 5. Realizarea funcțiilor și practicilor managementului educațional aferente domeniului sociologiei și asistenței sociale</w:t>
            </w:r>
          </w:p>
          <w:p w:rsidR="00F3291B" w:rsidRPr="004F489A" w:rsidRDefault="00F3291B" w:rsidP="00F3291B">
            <w:pPr>
              <w:spacing w:line="276" w:lineRule="auto"/>
            </w:pPr>
            <w:r>
              <w:t>CP 6. Dezvoltarea de strategii de optimizare și modernizare a procesului educational.</w:t>
            </w:r>
          </w:p>
          <w:p w:rsidR="00F3291B" w:rsidRDefault="00F3291B" w:rsidP="00F3291B">
            <w:pPr>
              <w:spacing w:line="276" w:lineRule="auto"/>
            </w:pPr>
            <w:r>
              <w:t>CP 7. Modernizarea și optimizarea procesului educațional aferent domeniului sociologiei și asistenței sociale.</w:t>
            </w:r>
          </w:p>
        </w:tc>
      </w:tr>
      <w:tr w:rsidR="003B0B40" w:rsidTr="007C6821">
        <w:trPr>
          <w:trHeight w:val="14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1"/>
              <w:ind w:left="440" w:hanging="359"/>
            </w:pPr>
            <w:r>
              <w:t>Studiul</w:t>
            </w:r>
            <w:r>
              <w:rPr>
                <w:spacing w:val="-3"/>
              </w:rPr>
              <w:t xml:space="preserve"> </w:t>
            </w:r>
            <w:r>
              <w:t>evoluției</w:t>
            </w:r>
            <w:r>
              <w:rPr>
                <w:spacing w:val="-7"/>
              </w:rPr>
              <w:t xml:space="preserve"> </w:t>
            </w:r>
            <w:r>
              <w:t>conceptelor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domeniul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35"/>
              <w:ind w:left="440" w:hanging="359"/>
            </w:pP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lucrărilor</w:t>
            </w:r>
            <w:r>
              <w:rPr>
                <w:spacing w:val="-1"/>
              </w:rPr>
              <w:t xml:space="preserve"> </w:t>
            </w:r>
            <w:r>
              <w:t>teoretice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tematica</w:t>
            </w:r>
            <w:r>
              <w:rPr>
                <w:spacing w:val="-1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10"/>
              </w:rPr>
              <w:t xml:space="preserve"> </w:t>
            </w:r>
            <w:r>
              <w:t>spații</w:t>
            </w:r>
            <w:r>
              <w:rPr>
                <w:spacing w:val="-7"/>
              </w:rPr>
              <w:t xml:space="preserve"> </w:t>
            </w:r>
            <w:r>
              <w:t>cultural-</w:t>
            </w:r>
            <w:r>
              <w:rPr>
                <w:spacing w:val="-2"/>
              </w:rPr>
              <w:t>academice.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Sinteza</w:t>
            </w:r>
            <w:r>
              <w:rPr>
                <w:spacing w:val="-2"/>
              </w:rPr>
              <w:t xml:space="preserve"> </w:t>
            </w:r>
            <w:r>
              <w:t>lucrărilor</w:t>
            </w:r>
            <w:r>
              <w:rPr>
                <w:spacing w:val="-2"/>
              </w:rPr>
              <w:t xml:space="preserve"> </w:t>
            </w:r>
            <w:r>
              <w:t>teoretice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relevante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cercetării.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Clarificarea</w:t>
            </w:r>
            <w:r>
              <w:rPr>
                <w:spacing w:val="-2"/>
              </w:rPr>
              <w:t xml:space="preserve"> </w:t>
            </w:r>
            <w:r>
              <w:t>statutului</w:t>
            </w:r>
            <w:r>
              <w:rPr>
                <w:spacing w:val="-8"/>
              </w:rPr>
              <w:t xml:space="preserve"> </w:t>
            </w:r>
            <w:r>
              <w:t>epistemologic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propriei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F3291B">
        <w:trPr>
          <w:trHeight w:val="477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6"/>
              <w:ind w:right="-15"/>
            </w:pPr>
            <w:r>
              <w:t xml:space="preserve">Dulschi S. </w:t>
            </w:r>
            <w:r>
              <w:rPr>
                <w:i/>
              </w:rPr>
              <w:t>Studiul bibliografic în teza de doctor: aspecte metodologice</w:t>
            </w:r>
            <w:r>
              <w:t xml:space="preserve">. </w:t>
            </w:r>
            <w:r>
              <w:rPr>
                <w:color w:val="2C2315"/>
              </w:rPr>
              <w:t>In:</w:t>
            </w:r>
            <w:r>
              <w:rPr>
                <w:color w:val="2C2315"/>
                <w:spacing w:val="-3"/>
              </w:rPr>
              <w:t xml:space="preserve"> </w:t>
            </w:r>
            <w:r>
              <w:rPr>
                <w:i/>
                <w:color w:val="2C2315"/>
              </w:rPr>
              <w:t>Administrarea Publică</w:t>
            </w:r>
            <w:r>
              <w:rPr>
                <w:color w:val="2C2315"/>
              </w:rPr>
              <w:t>. 2017, nr. 2(94).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>King</w:t>
            </w:r>
            <w:r>
              <w:rPr>
                <w:spacing w:val="37"/>
              </w:rPr>
              <w:t xml:space="preserve"> </w:t>
            </w:r>
            <w:r>
              <w:t>R.,</w:t>
            </w:r>
            <w:r>
              <w:rPr>
                <w:spacing w:val="40"/>
              </w:rPr>
              <w:t xml:space="preserve"> </w:t>
            </w:r>
            <w:r>
              <w:t>F.</w:t>
            </w:r>
            <w:r>
              <w:rPr>
                <w:spacing w:val="39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sociale</w:t>
            </w:r>
            <w:r>
              <w:t>.</w:t>
            </w:r>
            <w:r>
              <w:rPr>
                <w:spacing w:val="39"/>
              </w:rPr>
              <w:t xml:space="preserve"> </w:t>
            </w:r>
            <w:r>
              <w:t>Iaşi: Editura Polirom, 2005.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 xml:space="preserve">Eșco C., Russu-Deleu R., Zabrailov N. </w:t>
            </w:r>
            <w:r>
              <w:rPr>
                <w:i/>
              </w:rPr>
              <w:t xml:space="preserve">Proiectarea, elaborarea și redactarea lucrărilor științifice </w:t>
            </w:r>
            <w:r>
              <w:t>(Ghid). Chișinău: S. n., 2016 (Tipogr. „Primex-Com”).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rPr>
                <w:i/>
              </w:rPr>
              <w:t>Referințe bibliografice: norme și stiluri 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citare</w:t>
            </w:r>
            <w:r>
              <w:t>. Ghid practic. (coord.) Nicolaeva J., Zasavițchi E. Chișinău: Academia de Științe a Moldovei, 2010.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t xml:space="preserve">Rădulescu, Mihaela Șt. 2006. </w:t>
            </w:r>
            <w:r>
              <w:rPr>
                <w:i/>
              </w:rPr>
              <w:t>Metodologia cercetării științifice. Elaborarea lucrărilor de licență, masterat, doctorat</w:t>
            </w:r>
            <w:r>
              <w:t>. București: Ed. Didactică și Pedagofică.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ind w:left="723" w:hanging="359"/>
            </w:pPr>
            <w:r>
              <w:t>Tătărescu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Elemente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cultură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informației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În:</w:t>
            </w:r>
            <w:r>
              <w:rPr>
                <w:spacing w:val="-5"/>
              </w:rPr>
              <w:t xml:space="preserve"> </w:t>
            </w:r>
            <w:r>
              <w:t>Intellectus.</w:t>
            </w:r>
            <w:r>
              <w:rPr>
                <w:spacing w:val="1"/>
              </w:rPr>
              <w:t xml:space="preserve"> </w:t>
            </w:r>
            <w:r>
              <w:t>2012,</w:t>
            </w:r>
            <w:r>
              <w:rPr>
                <w:spacing w:val="-4"/>
              </w:rPr>
              <w:t xml:space="preserve"> </w:t>
            </w:r>
            <w:r>
              <w:t>nr.</w:t>
            </w:r>
            <w:r>
              <w:rPr>
                <w:spacing w:val="-4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</w:t>
            </w:r>
            <w:r>
              <w:t>pp.</w:t>
            </w:r>
            <w:r>
              <w:rPr>
                <w:spacing w:val="-5"/>
              </w:rPr>
              <w:t xml:space="preserve"> </w:t>
            </w:r>
            <w:r>
              <w:t>86-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90.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spacing w:before="24"/>
              <w:ind w:right="-15"/>
            </w:pPr>
            <w:r>
              <w:rPr>
                <w:i/>
              </w:rPr>
              <w:t>Tipuri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rezultate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activităților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științifice</w:t>
            </w:r>
            <w:r>
              <w:t>.</w:t>
            </w:r>
            <w:r>
              <w:rPr>
                <w:spacing w:val="-8"/>
              </w:rPr>
              <w:t xml:space="preserve"> </w:t>
            </w:r>
            <w:r>
              <w:t>Coord.</w:t>
            </w:r>
            <w:r>
              <w:rPr>
                <w:spacing w:val="-2"/>
              </w:rPr>
              <w:t xml:space="preserve"> </w:t>
            </w:r>
            <w:r>
              <w:t>Cuciureanu</w:t>
            </w:r>
            <w:r>
              <w:rPr>
                <w:spacing w:val="-6"/>
              </w:rPr>
              <w:t xml:space="preserve"> </w:t>
            </w:r>
            <w:r>
              <w:t>G.,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8"/>
              </w:rPr>
              <w:t xml:space="preserve"> </w:t>
            </w:r>
            <w:r>
              <w:t>Țurcan</w:t>
            </w:r>
            <w:r>
              <w:rPr>
                <w:spacing w:val="-11"/>
              </w:rPr>
              <w:t xml:space="preserve"> </w:t>
            </w:r>
            <w:r>
              <w:t>N.,</w:t>
            </w:r>
            <w:r>
              <w:rPr>
                <w:spacing w:val="-8"/>
              </w:rPr>
              <w:t xml:space="preserve"> </w:t>
            </w:r>
            <w:r>
              <w:t>Ungureanu</w:t>
            </w:r>
            <w:r>
              <w:rPr>
                <w:spacing w:val="-6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et al. Chişinău: Institutul de Dezvoltare a Societăţii Informaţionale, 2018.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ind w:right="1"/>
              <w:rPr>
                <w:rFonts w:ascii="Calibri" w:hAnsi="Calibri"/>
                <w:i/>
              </w:rPr>
            </w:pPr>
            <w:r>
              <w:t>Curelaru</w:t>
            </w:r>
            <w:r>
              <w:rPr>
                <w:spacing w:val="19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Metode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cantitative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cercetare.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Designuri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aplicații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științele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sociale.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Iași:</w:t>
            </w:r>
            <w:r>
              <w:rPr>
                <w:i/>
                <w:spacing w:val="-14"/>
              </w:rPr>
              <w:t xml:space="preserve"> </w:t>
            </w:r>
            <w:r>
              <w:t xml:space="preserve">Polirom, </w:t>
            </w:r>
            <w:r>
              <w:rPr>
                <w:spacing w:val="-2"/>
              </w:rPr>
              <w:t>2022</w:t>
            </w:r>
            <w:r>
              <w:rPr>
                <w:rFonts w:ascii="Calibri" w:hAnsi="Calibri"/>
                <w:i/>
                <w:spacing w:val="-2"/>
              </w:rPr>
              <w:t>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603"/>
            </w:pPr>
            <w:r>
              <w:t>Cheianu-Andrei</w:t>
            </w:r>
            <w:r>
              <w:rPr>
                <w:spacing w:val="-7"/>
              </w:rPr>
              <w:t xml:space="preserve"> </w:t>
            </w:r>
            <w:r>
              <w:t>D.,</w:t>
            </w:r>
            <w:r>
              <w:rPr>
                <w:spacing w:val="-1"/>
              </w:rPr>
              <w:t xml:space="preserve"> </w:t>
            </w:r>
            <w:r>
              <w:t>Chira</w:t>
            </w:r>
            <w:r>
              <w:rPr>
                <w:spacing w:val="-5"/>
              </w:rPr>
              <w:t xml:space="preserve"> </w:t>
            </w:r>
            <w:r>
              <w:t>A.,</w:t>
            </w:r>
            <w:r>
              <w:rPr>
                <w:spacing w:val="-1"/>
              </w:rPr>
              <w:t xml:space="preserve"> </w:t>
            </w:r>
            <w:r>
              <w:t>Milicenco</w:t>
            </w:r>
            <w:r>
              <w:rPr>
                <w:spacing w:val="-8"/>
              </w:rPr>
              <w:t xml:space="preserve"> </w:t>
            </w:r>
            <w:r>
              <w:t>S.,</w:t>
            </w:r>
            <w:r>
              <w:rPr>
                <w:spacing w:val="-6"/>
              </w:rPr>
              <w:t xml:space="preserve"> </w:t>
            </w:r>
            <w:r>
              <w:t>Oceretnîi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 xml:space="preserve">etc. </w:t>
            </w:r>
            <w:r>
              <w:rPr>
                <w:i/>
              </w:rPr>
              <w:t>Metodologia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cercetării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sociale. Manual. </w:t>
            </w:r>
            <w:r>
              <w:t>– Chișinău, 2022.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num w:numId="1" w16cid:durableId="2120754790">
    <w:abstractNumId w:val="1"/>
  </w:num>
  <w:num w:numId="2" w16cid:durableId="93586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64391E"/>
    <w:rsid w:val="007C6821"/>
    <w:rsid w:val="007E5EA2"/>
    <w:rsid w:val="009D06CC"/>
    <w:rsid w:val="009D35D8"/>
    <w:rsid w:val="009D4F52"/>
    <w:rsid w:val="009F505D"/>
    <w:rsid w:val="00B23342"/>
    <w:rsid w:val="00DB16C3"/>
    <w:rsid w:val="00E1610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E4DB61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4</cp:revision>
  <dcterms:created xsi:type="dcterms:W3CDTF">2026-04-08T15:32:00Z</dcterms:created>
  <dcterms:modified xsi:type="dcterms:W3CDTF">2026-04-10T17:56:00Z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