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3, din 15.12.2023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2A1D9A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Profil</w:t>
            </w:r>
            <w:r w:rsidR="008910DE">
              <w:rPr>
                <w:b/>
                <w:bCs/>
              </w:rPr>
              <w:t>ul</w:t>
            </w:r>
            <w:r>
              <w:rPr>
                <w:b/>
                <w:bCs/>
              </w:rPr>
              <w:t xml:space="preserve"> științific</w:t>
            </w:r>
          </w:p>
        </w:tc>
        <w:tc>
          <w:tcPr>
            <w:tcW w:w="8238" w:type="dxa"/>
            <w:gridSpan w:val="4"/>
          </w:tcPr>
          <w:p w:rsidR="007C6821" w:rsidRPr="00F3291B" w:rsidRDefault="00DB1255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Științe administrative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FD7460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S.02.O.5.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</w:rPr>
              <w:t>Fenomene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tendințe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contemporane</w:t>
            </w:r>
            <w:r>
              <w:rPr>
                <w:rFonts w:eastAsia="Calibri"/>
                <w:b/>
                <w:iCs/>
                <w:lang w:val="ro-MD"/>
              </w:rPr>
              <w:t xml:space="preserve"> în </w:t>
            </w:r>
            <w:r>
              <w:rPr>
                <w:b/>
                <w:lang w:val="ro-MD"/>
              </w:rPr>
              <w:t>științele administrative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S.02.O.5.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DA7801">
        <w:trPr>
          <w:trHeight w:val="25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3B0B40" w:rsidRDefault="00DA6175" w:rsidP="00877D63">
            <w:pPr>
              <w:pStyle w:val="TableParagraph"/>
              <w:ind w:left="0"/>
              <w:jc w:val="both"/>
            </w:pPr>
            <w:r>
              <w:t>Scopul disciplinei constă în formarea unei viziuni de ansamblu referitoare la fenomenele și tendințele contemporane în administrația publică. Cursul oferă posibilitatea de a cunoaște concepte și redimensionări conceptuale datorate evoluției contextuale și cristalizării autonomiei și interdisciplinarității științei administrației. Studenții-doctoranzi vor avea posibilitatea să</w:t>
            </w:r>
            <w:r>
              <w:rPr>
                <w:spacing w:val="-5"/>
              </w:rPr>
              <w:t xml:space="preserve"> </w:t>
            </w:r>
            <w:r>
              <w:t>cunoască abordări</w:t>
            </w:r>
            <w:r>
              <w:rPr>
                <w:spacing w:val="-3"/>
              </w:rPr>
              <w:t xml:space="preserve"> </w:t>
            </w:r>
            <w:r>
              <w:t>teoretico-conceptuale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studii</w:t>
            </w:r>
            <w:r>
              <w:rPr>
                <w:spacing w:val="-2"/>
              </w:rPr>
              <w:t xml:space="preserve"> </w:t>
            </w:r>
            <w:r>
              <w:t>empirice, să analizele</w:t>
            </w:r>
            <w:r>
              <w:rPr>
                <w:spacing w:val="-9"/>
              </w:rPr>
              <w:t xml:space="preserve"> </w:t>
            </w:r>
            <w:r>
              <w:t>sursele teoretice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9"/>
              </w:rPr>
              <w:t xml:space="preserve"> </w:t>
            </w:r>
            <w:r>
              <w:t>aplicativ-practice,</w:t>
            </w:r>
            <w:r>
              <w:rPr>
                <w:spacing w:val="-4"/>
              </w:rPr>
              <w:t xml:space="preserve"> </w:t>
            </w:r>
            <w:r>
              <w:t>să-și</w:t>
            </w:r>
            <w:r>
              <w:rPr>
                <w:spacing w:val="-9"/>
              </w:rPr>
              <w:t xml:space="preserve"> </w:t>
            </w:r>
            <w:r>
              <w:t>dezvolte</w:t>
            </w:r>
            <w:r>
              <w:rPr>
                <w:spacing w:val="-8"/>
              </w:rPr>
              <w:t xml:space="preserve"> </w:t>
            </w:r>
            <w:r>
              <w:t>capacități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identificare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problematicilor</w:t>
            </w:r>
            <w:r>
              <w:rPr>
                <w:spacing w:val="-1"/>
              </w:rPr>
              <w:t xml:space="preserve"> </w:t>
            </w:r>
            <w:r>
              <w:t>actuale din domeniul administrației publice, să elaboreze și să fundamenteze proiecte de relevante pentru studiului</w:t>
            </w:r>
            <w:r>
              <w:rPr>
                <w:spacing w:val="-1"/>
              </w:rPr>
              <w:t xml:space="preserve"> </w:t>
            </w:r>
            <w:r>
              <w:t>administrației</w:t>
            </w:r>
            <w:r>
              <w:rPr>
                <w:spacing w:val="-1"/>
              </w:rPr>
              <w:t xml:space="preserve"> </w:t>
            </w:r>
            <w:r>
              <w:t>publice. În</w:t>
            </w:r>
            <w:r>
              <w:rPr>
                <w:spacing w:val="-1"/>
              </w:rPr>
              <w:t xml:space="preserve"> </w:t>
            </w:r>
            <w:r>
              <w:t>cadrul</w:t>
            </w:r>
            <w:r>
              <w:rPr>
                <w:spacing w:val="-1"/>
              </w:rPr>
              <w:t xml:space="preserve"> </w:t>
            </w:r>
            <w:r>
              <w:t>disciplinei</w:t>
            </w:r>
            <w:r>
              <w:rPr>
                <w:spacing w:val="-1"/>
              </w:rPr>
              <w:t xml:space="preserve"> </w:t>
            </w:r>
            <w:r>
              <w:t>sunt analizate</w:t>
            </w:r>
            <w:r>
              <w:rPr>
                <w:spacing w:val="-2"/>
              </w:rPr>
              <w:t xml:space="preserve"> </w:t>
            </w:r>
            <w:r>
              <w:t>legități, procese</w:t>
            </w:r>
            <w:r>
              <w:rPr>
                <w:spacing w:val="-2"/>
              </w:rPr>
              <w:t xml:space="preserve"> </w:t>
            </w:r>
            <w:r>
              <w:t xml:space="preserve">ale fenomenelor administrative, fiind asigurate condiții pentru necesare pentru crearea unei reprezentări corecte privind teoria, valorile și practica administrației publice ca produse ale </w:t>
            </w:r>
            <w:r>
              <w:rPr>
                <w:spacing w:val="-2"/>
              </w:rPr>
              <w:t>cunoașterii.</w:t>
            </w:r>
          </w:p>
        </w:tc>
      </w:tr>
      <w:tr w:rsidR="003B0B40" w:rsidTr="007C6821">
        <w:trPr>
          <w:trHeight w:val="1747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r>
              <w:rPr>
                <w:b/>
                <w:spacing w:val="-2"/>
              </w:rPr>
              <w:t>Competenţele obţinut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5D7BA3" w:rsidRDefault="005D7BA3" w:rsidP="005D7BA3">
            <w:pPr>
              <w:pStyle w:val="TableParagraph"/>
              <w:ind w:left="0"/>
              <w:jc w:val="both"/>
            </w:pPr>
            <w:r>
              <w:t>CP 1. Cunoașterea conceptelor fundamentale ale științei administrative și utilizarea corectă a acestora în demersurile de cercetare.</w:t>
            </w:r>
          </w:p>
          <w:p w:rsidR="005D7BA3" w:rsidRDefault="005D7BA3" w:rsidP="005D7BA3">
            <w:pPr>
              <w:pStyle w:val="TableParagraph"/>
              <w:ind w:left="0"/>
              <w:jc w:val="both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2.</w:t>
            </w:r>
            <w:r>
              <w:rPr>
                <w:spacing w:val="-4"/>
              </w:rPr>
              <w:t xml:space="preserve"> </w:t>
            </w:r>
            <w:r>
              <w:t>Identificarea problemelor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cercetare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domeniul</w:t>
            </w:r>
            <w:r>
              <w:rPr>
                <w:spacing w:val="-6"/>
              </w:rPr>
              <w:t xml:space="preserve"> </w:t>
            </w:r>
            <w:r>
              <w:t>administrației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5D7BA3" w:rsidRDefault="005D7BA3" w:rsidP="005D7BA3">
            <w:pPr>
              <w:pStyle w:val="TableParagraph"/>
              <w:ind w:left="0"/>
              <w:jc w:val="both"/>
              <w:rPr>
                <w:sz w:val="24"/>
              </w:rPr>
            </w:pPr>
            <w:r>
              <w:t>CP 3 Explicarea</w:t>
            </w:r>
            <w:r>
              <w:rPr>
                <w:spacing w:val="23"/>
              </w:rPr>
              <w:t xml:space="preserve"> </w:t>
            </w:r>
            <w:r>
              <w:rPr>
                <w:sz w:val="24"/>
              </w:rPr>
              <w:t xml:space="preserve">abordărilor majore privind organizarea și funcționarea administrației </w:t>
            </w:r>
            <w:r>
              <w:rPr>
                <w:spacing w:val="-2"/>
                <w:sz w:val="24"/>
              </w:rPr>
              <w:t>publice.</w:t>
            </w:r>
          </w:p>
          <w:p w:rsidR="005D7BA3" w:rsidRDefault="005D7BA3" w:rsidP="005D7BA3">
            <w:pPr>
              <w:pStyle w:val="TableParagraph"/>
              <w:ind w:left="0"/>
              <w:jc w:val="both"/>
            </w:pPr>
            <w:r>
              <w:t>CP</w:t>
            </w:r>
            <w:r>
              <w:rPr>
                <w:spacing w:val="-10"/>
              </w:rPr>
              <w:t xml:space="preserve"> </w:t>
            </w:r>
            <w:r>
              <w:t>4.</w:t>
            </w:r>
            <w:r>
              <w:rPr>
                <w:spacing w:val="-5"/>
              </w:rPr>
              <w:t xml:space="preserve"> </w:t>
            </w:r>
            <w:r>
              <w:t>Extrapolarea</w:t>
            </w:r>
            <w:r>
              <w:rPr>
                <w:spacing w:val="1"/>
              </w:rPr>
              <w:t xml:space="preserve"> </w:t>
            </w:r>
            <w:r>
              <w:t>modelelor</w:t>
            </w:r>
            <w:r>
              <w:rPr>
                <w:spacing w:val="-2"/>
              </w:rPr>
              <w:t xml:space="preserve"> </w:t>
            </w:r>
            <w:r>
              <w:t>teoretice</w:t>
            </w:r>
            <w:r>
              <w:rPr>
                <w:spacing w:val="-11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t>domeniul</w:t>
            </w:r>
            <w:r>
              <w:rPr>
                <w:spacing w:val="-8"/>
              </w:rPr>
              <w:t xml:space="preserve"> </w:t>
            </w:r>
            <w:r>
              <w:t>aplicativ-</w:t>
            </w:r>
            <w:r>
              <w:rPr>
                <w:spacing w:val="-2"/>
              </w:rPr>
              <w:t>practic.</w:t>
            </w:r>
          </w:p>
          <w:p w:rsidR="00F3291B" w:rsidRDefault="005D7BA3" w:rsidP="005D7BA3">
            <w:pPr>
              <w:jc w:val="both"/>
            </w:pPr>
            <w:r>
              <w:t>CP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2"/>
              </w:rPr>
              <w:t xml:space="preserve"> </w:t>
            </w:r>
            <w:r>
              <w:t>Explicarea mutațiilor instituționale</w:t>
            </w:r>
            <w:r>
              <w:rPr>
                <w:spacing w:val="-7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organizaționale</w:t>
            </w:r>
            <w:r>
              <w:rPr>
                <w:spacing w:val="-6"/>
              </w:rPr>
              <w:t xml:space="preserve"> </w:t>
            </w:r>
            <w:r>
              <w:t>pe</w:t>
            </w:r>
            <w:r>
              <w:rPr>
                <w:spacing w:val="-8"/>
              </w:rPr>
              <w:t xml:space="preserve"> </w:t>
            </w:r>
            <w:r>
              <w:t>care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cunoaște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prezent administrația publică.</w:t>
            </w:r>
          </w:p>
        </w:tc>
      </w:tr>
      <w:tr w:rsidR="003B0B40" w:rsidTr="00DA7801">
        <w:trPr>
          <w:trHeight w:val="1311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line="249" w:lineRule="exact"/>
            </w:pPr>
            <w:r>
              <w:t>Concepte</w:t>
            </w:r>
            <w:r>
              <w:rPr>
                <w:spacing w:val="-11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redimensionări</w:t>
            </w:r>
            <w:r>
              <w:rPr>
                <w:spacing w:val="-6"/>
              </w:rPr>
              <w:t xml:space="preserve"> </w:t>
            </w:r>
            <w:r>
              <w:t>conceptuale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administrația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publică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40"/>
            </w:pPr>
            <w:r>
              <w:t>Tradiții</w:t>
            </w:r>
            <w:r>
              <w:rPr>
                <w:spacing w:val="-8"/>
              </w:rPr>
              <w:t xml:space="preserve"> </w:t>
            </w:r>
            <w:r>
              <w:t>teoretice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t>studiul</w:t>
            </w:r>
            <w:r>
              <w:rPr>
                <w:spacing w:val="-7"/>
              </w:rPr>
              <w:t xml:space="preserve"> </w:t>
            </w:r>
            <w:r>
              <w:t>administrației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39"/>
            </w:pPr>
            <w:r>
              <w:t>Tendințe</w:t>
            </w:r>
            <w:r>
              <w:rPr>
                <w:spacing w:val="-7"/>
              </w:rPr>
              <w:t xml:space="preserve"> </w:t>
            </w:r>
            <w:r>
              <w:t>actuale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studiul</w:t>
            </w:r>
            <w:r>
              <w:rPr>
                <w:spacing w:val="-5"/>
              </w:rPr>
              <w:t xml:space="preserve"> </w:t>
            </w:r>
            <w:r>
              <w:t>fenomenelor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administrative.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35"/>
            </w:pPr>
            <w:r>
              <w:t>Valorificarea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  <w:r>
              <w:rPr>
                <w:spacing w:val="-2"/>
              </w:rPr>
              <w:t xml:space="preserve"> </w:t>
            </w:r>
            <w:r>
              <w:t>cercetărilor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10"/>
              </w:rPr>
              <w:t xml:space="preserve"> </w:t>
            </w:r>
            <w:r>
              <w:t>domeniu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t>activități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8"/>
              </w:rPr>
              <w:t xml:space="preserve"> </w:t>
            </w:r>
            <w:r>
              <w:t>practici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administrative.</w:t>
            </w:r>
          </w:p>
          <w:p w:rsidR="003B0B40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</w:pPr>
            <w:r>
              <w:t>Mutații</w:t>
            </w:r>
            <w:r>
              <w:rPr>
                <w:spacing w:val="-10"/>
              </w:rPr>
              <w:t xml:space="preserve"> </w:t>
            </w:r>
            <w:r>
              <w:t>instituționale</w:t>
            </w:r>
            <w:r>
              <w:rPr>
                <w:spacing w:val="-1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organizaționale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sistemul</w:t>
            </w:r>
            <w:r>
              <w:rPr>
                <w:spacing w:val="-8"/>
              </w:rPr>
              <w:t xml:space="preserve"> </w:t>
            </w:r>
            <w:r>
              <w:t>administrației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publice.</w:t>
            </w:r>
          </w:p>
        </w:tc>
      </w:tr>
      <w:tr w:rsidR="003B0B40" w:rsidTr="005C633B">
        <w:trPr>
          <w:trHeight w:val="84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877D63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4"/>
              <w:jc w:val="both"/>
            </w:pPr>
            <w:r>
              <w:t>Alexandru</w:t>
            </w:r>
            <w:r>
              <w:rPr>
                <w:spacing w:val="-6"/>
              </w:rPr>
              <w:t xml:space="preserve"> </w:t>
            </w:r>
            <w:r>
              <w:t>I.</w:t>
            </w:r>
            <w:r>
              <w:rPr>
                <w:spacing w:val="-5"/>
              </w:rPr>
              <w:t xml:space="preserve"> </w:t>
            </w:r>
            <w:r>
              <w:t>Interdisciplinaritatea.</w:t>
            </w:r>
            <w:r>
              <w:rPr>
                <w:spacing w:val="-5"/>
              </w:rPr>
              <w:t xml:space="preserve"> </w:t>
            </w:r>
            <w:r>
              <w:t>Noua</w:t>
            </w:r>
            <w:r>
              <w:rPr>
                <w:spacing w:val="-8"/>
              </w:rPr>
              <w:t xml:space="preserve"> </w:t>
            </w:r>
            <w:r>
              <w:t>paradigmă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cercetarea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13"/>
              </w:rPr>
              <w:t xml:space="preserve"> </w:t>
            </w:r>
            <w:r>
              <w:t>reformarea</w:t>
            </w:r>
            <w:r>
              <w:rPr>
                <w:spacing w:val="-4"/>
              </w:rPr>
              <w:t xml:space="preserve"> </w:t>
            </w:r>
            <w:r>
              <w:t>administrației publice, Editura Academiei Române, București, 2010,.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2"/>
              </w:tabs>
              <w:ind w:left="0"/>
              <w:jc w:val="both"/>
              <w:rPr>
                <w:sz w:val="24"/>
              </w:rPr>
            </w:pPr>
            <w:r>
              <w:t>Alexandru</w:t>
            </w:r>
            <w:r>
              <w:rPr>
                <w:spacing w:val="-4"/>
              </w:rPr>
              <w:t xml:space="preserve"> </w:t>
            </w:r>
            <w:r>
              <w:t>I.</w:t>
            </w:r>
            <w:r>
              <w:rPr>
                <w:spacing w:val="-7"/>
              </w:rPr>
              <w:t xml:space="preserve"> </w:t>
            </w:r>
            <w:r>
              <w:t>Tratat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administrație</w:t>
            </w:r>
            <w:r>
              <w:rPr>
                <w:spacing w:val="-11"/>
              </w:rPr>
              <w:t xml:space="preserve"> </w:t>
            </w:r>
            <w:r>
              <w:t>publică,</w:t>
            </w:r>
            <w:r>
              <w:rPr>
                <w:spacing w:val="-2"/>
              </w:rPr>
              <w:t xml:space="preserve"> </w:t>
            </w:r>
            <w:r>
              <w:t>Editura</w:t>
            </w:r>
            <w:r>
              <w:rPr>
                <w:spacing w:val="-6"/>
              </w:rPr>
              <w:t xml:space="preserve"> </w:t>
            </w:r>
            <w:r>
              <w:t>Universul</w:t>
            </w:r>
            <w:r>
              <w:rPr>
                <w:spacing w:val="-7"/>
              </w:rPr>
              <w:t xml:space="preserve"> </w:t>
            </w:r>
            <w:r>
              <w:t>Juridic,</w:t>
            </w:r>
            <w:r>
              <w:rPr>
                <w:spacing w:val="-2"/>
              </w:rPr>
              <w:t xml:space="preserve"> </w:t>
            </w:r>
            <w:r>
              <w:t>București,</w:t>
            </w:r>
            <w:r>
              <w:rPr>
                <w:spacing w:val="-2"/>
              </w:rPr>
              <w:t xml:space="preserve"> 2008.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-15"/>
              <w:jc w:val="both"/>
            </w:pPr>
            <w:r>
              <w:t>Cornea S.</w:t>
            </w:r>
            <w:r>
              <w:rPr>
                <w:spacing w:val="40"/>
              </w:rPr>
              <w:t xml:space="preserve"> </w:t>
            </w:r>
            <w:r>
              <w:t>Colectivitatea teritorială locală:</w:t>
            </w:r>
            <w:r>
              <w:rPr>
                <w:spacing w:val="-7"/>
              </w:rPr>
              <w:t xml:space="preserve"> </w:t>
            </w:r>
            <w:r>
              <w:t>repere</w:t>
            </w:r>
            <w:r>
              <w:rPr>
                <w:spacing w:val="-9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definirea unui</w:t>
            </w:r>
            <w:r>
              <w:rPr>
                <w:spacing w:val="-7"/>
              </w:rPr>
              <w:t xml:space="preserve"> </w:t>
            </w:r>
            <w:r>
              <w:t>concept.</w:t>
            </w:r>
            <w:r>
              <w:rPr>
                <w:spacing w:val="-1"/>
              </w:rPr>
              <w:t xml:space="preserve"> </w:t>
            </w:r>
            <w:r>
              <w:t>În:</w:t>
            </w:r>
            <w:r>
              <w:rPr>
                <w:spacing w:val="-7"/>
              </w:rPr>
              <w:t xml:space="preserve"> </w:t>
            </w:r>
            <w:r>
              <w:t>Buletinul Ştiinţific al Universității de Stat „B.P. Hasdeu” din Cahul. Seria Științe Sociale. Nr. 1 (1), 2015, p. 4-30.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5"/>
              <w:jc w:val="both"/>
            </w:pPr>
            <w:r>
              <w:t>Cornea</w:t>
            </w:r>
            <w:r>
              <w:rPr>
                <w:spacing w:val="-14"/>
              </w:rPr>
              <w:t xml:space="preserve"> </w:t>
            </w:r>
            <w:r>
              <w:t>S.</w:t>
            </w:r>
            <w:r>
              <w:rPr>
                <w:spacing w:val="-14"/>
              </w:rPr>
              <w:t xml:space="preserve"> </w:t>
            </w:r>
            <w:r>
              <w:t>Dimensiunea</w:t>
            </w:r>
            <w:r>
              <w:rPr>
                <w:spacing w:val="-14"/>
              </w:rPr>
              <w:t xml:space="preserve"> </w:t>
            </w:r>
            <w:r>
              <w:t>teritorială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puterii</w:t>
            </w:r>
            <w:r>
              <w:rPr>
                <w:spacing w:val="-14"/>
              </w:rPr>
              <w:t xml:space="preserve"> </w:t>
            </w:r>
            <w:r>
              <w:t>locale:</w:t>
            </w:r>
            <w:r>
              <w:rPr>
                <w:spacing w:val="-14"/>
              </w:rPr>
              <w:t xml:space="preserve"> </w:t>
            </w:r>
            <w:r>
              <w:t>identificarea</w:t>
            </w:r>
            <w:r>
              <w:rPr>
                <w:spacing w:val="-13"/>
              </w:rPr>
              <w:t xml:space="preserve"> </w:t>
            </w:r>
            <w:r>
              <w:t>unei</w:t>
            </w:r>
            <w:r>
              <w:rPr>
                <w:spacing w:val="-14"/>
              </w:rPr>
              <w:t xml:space="preserve"> </w:t>
            </w:r>
            <w:r>
              <w:t>paradigme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investigare. În: Conferinţa ştiinţifică internaţională „Perspectivele şi Problemele Integrării în Spaţiul European al Cercetării şi Educaţiei”, 7 iunie 2018, Vol. I. Cahul: US Cahul, 2018, p. 7-16.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/>
              <w:jc w:val="both"/>
            </w:pPr>
            <w:r>
              <w:rPr>
                <w:spacing w:val="-2"/>
              </w:rPr>
              <w:t>Cornea S. Organizarea teritorială a puterii locale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Republica Moldova: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concept, mecanisme, </w:t>
            </w:r>
            <w:r>
              <w:t>soluții.</w:t>
            </w:r>
            <w:r>
              <w:rPr>
                <w:spacing w:val="28"/>
              </w:rPr>
              <w:t xml:space="preserve"> </w:t>
            </w:r>
            <w:r>
              <w:t>București</w:t>
            </w:r>
            <w:r>
              <w:rPr>
                <w:spacing w:val="24"/>
              </w:rPr>
              <w:t xml:space="preserve"> </w:t>
            </w:r>
            <w:r>
              <w:t>-</w:t>
            </w:r>
            <w:r>
              <w:rPr>
                <w:spacing w:val="24"/>
              </w:rPr>
              <w:t xml:space="preserve"> </w:t>
            </w:r>
            <w:r>
              <w:t>Brăila:</w:t>
            </w:r>
            <w:r>
              <w:rPr>
                <w:spacing w:val="23"/>
              </w:rPr>
              <w:t xml:space="preserve"> </w:t>
            </w:r>
            <w:r>
              <w:t>Editura</w:t>
            </w:r>
            <w:r>
              <w:rPr>
                <w:spacing w:val="28"/>
              </w:rPr>
              <w:t xml:space="preserve"> </w:t>
            </w:r>
            <w:r>
              <w:t>Academiei</w:t>
            </w:r>
            <w:r>
              <w:rPr>
                <w:spacing w:val="23"/>
              </w:rPr>
              <w:t xml:space="preserve"> </w:t>
            </w:r>
            <w:r>
              <w:t>Române</w:t>
            </w:r>
            <w:r>
              <w:rPr>
                <w:spacing w:val="23"/>
              </w:rPr>
              <w:t xml:space="preserve"> </w:t>
            </w:r>
            <w:r>
              <w:t>-</w:t>
            </w:r>
            <w:r>
              <w:rPr>
                <w:spacing w:val="24"/>
              </w:rPr>
              <w:t xml:space="preserve"> </w:t>
            </w:r>
            <w:r>
              <w:t>Editura</w:t>
            </w:r>
            <w:r>
              <w:rPr>
                <w:spacing w:val="28"/>
              </w:rPr>
              <w:t xml:space="preserve"> </w:t>
            </w:r>
            <w:r>
              <w:t>Istros</w:t>
            </w:r>
            <w:r>
              <w:rPr>
                <w:spacing w:val="22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Muzeului</w:t>
            </w:r>
            <w:r>
              <w:rPr>
                <w:spacing w:val="23"/>
              </w:rPr>
              <w:t xml:space="preserve"> </w:t>
            </w:r>
            <w:r>
              <w:t>Brăilei</w:t>
            </w:r>
          </w:p>
          <w:p w:rsidR="00DA6175" w:rsidRDefault="00DA6175" w:rsidP="00DA6175">
            <w:pPr>
              <w:pStyle w:val="TableParagraph"/>
              <w:ind w:left="0"/>
              <w:jc w:val="both"/>
            </w:pPr>
            <w:r>
              <w:t>„Carol</w:t>
            </w:r>
            <w:r>
              <w:rPr>
                <w:spacing w:val="-7"/>
              </w:rPr>
              <w:t xml:space="preserve"> </w:t>
            </w:r>
            <w:r>
              <w:t>I”,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2017.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4"/>
              <w:jc w:val="both"/>
            </w:pPr>
            <w:r>
              <w:t>Cornea</w:t>
            </w:r>
            <w:r>
              <w:rPr>
                <w:spacing w:val="-14"/>
              </w:rPr>
              <w:t xml:space="preserve"> </w:t>
            </w:r>
            <w:r>
              <w:t>S.</w:t>
            </w:r>
            <w:r>
              <w:rPr>
                <w:spacing w:val="-14"/>
              </w:rPr>
              <w:t xml:space="preserve"> </w:t>
            </w:r>
            <w:r>
              <w:t>Precizări</w:t>
            </w:r>
            <w:r>
              <w:rPr>
                <w:spacing w:val="-14"/>
              </w:rPr>
              <w:t xml:space="preserve"> </w:t>
            </w:r>
            <w:r>
              <w:t>terminologice</w:t>
            </w:r>
            <w:r>
              <w:rPr>
                <w:spacing w:val="-13"/>
              </w:rPr>
              <w:t xml:space="preserve"> </w:t>
            </w:r>
            <w:r>
              <w:t>privind</w:t>
            </w:r>
            <w:r>
              <w:rPr>
                <w:spacing w:val="-14"/>
              </w:rPr>
              <w:t xml:space="preserve"> </w:t>
            </w:r>
            <w:r>
              <w:t>noțiunile</w:t>
            </w:r>
            <w:r>
              <w:rPr>
                <w:spacing w:val="-14"/>
              </w:rPr>
              <w:t xml:space="preserve"> </w:t>
            </w:r>
            <w:r>
              <w:t>esențiale</w:t>
            </w:r>
            <w:r>
              <w:rPr>
                <w:spacing w:val="-14"/>
              </w:rPr>
              <w:t xml:space="preserve"> </w:t>
            </w:r>
            <w:r>
              <w:t>ale</w:t>
            </w:r>
            <w:r>
              <w:rPr>
                <w:spacing w:val="-13"/>
              </w:rPr>
              <w:t xml:space="preserve"> </w:t>
            </w:r>
            <w:r>
              <w:t>organizării</w:t>
            </w:r>
            <w:r>
              <w:rPr>
                <w:spacing w:val="-14"/>
              </w:rPr>
              <w:t xml:space="preserve"> </w:t>
            </w:r>
            <w:r>
              <w:t>teritoriale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puterii publice. În: Administrarea publică, nr. 4, 2016, p. 22-30.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left="0"/>
              <w:jc w:val="both"/>
              <w:rPr>
                <w:sz w:val="24"/>
              </w:rPr>
            </w:pPr>
            <w:r>
              <w:t>Ladner,</w:t>
            </w:r>
            <w:r>
              <w:rPr>
                <w:spacing w:val="44"/>
              </w:rPr>
              <w:t xml:space="preserve"> </w:t>
            </w:r>
            <w:r>
              <w:t>A.,</w:t>
            </w:r>
            <w:r>
              <w:rPr>
                <w:spacing w:val="39"/>
              </w:rPr>
              <w:t xml:space="preserve"> </w:t>
            </w:r>
            <w:r>
              <w:t>Keuffer,</w:t>
            </w:r>
            <w:r>
              <w:rPr>
                <w:spacing w:val="44"/>
              </w:rPr>
              <w:t xml:space="preserve"> </w:t>
            </w:r>
            <w:r>
              <w:t>N.,</w:t>
            </w:r>
            <w:r>
              <w:rPr>
                <w:spacing w:val="40"/>
              </w:rPr>
              <w:t xml:space="preserve"> </w:t>
            </w:r>
            <w:r>
              <w:t>Baldersheim,</w:t>
            </w:r>
            <w:r>
              <w:rPr>
                <w:spacing w:val="44"/>
              </w:rPr>
              <w:t xml:space="preserve"> </w:t>
            </w:r>
            <w:r>
              <w:t>H.,</w:t>
            </w:r>
            <w:r>
              <w:rPr>
                <w:spacing w:val="39"/>
              </w:rPr>
              <w:t xml:space="preserve"> </w:t>
            </w:r>
            <w:r>
              <w:t>Hlepas,</w:t>
            </w:r>
            <w:r>
              <w:rPr>
                <w:spacing w:val="41"/>
              </w:rPr>
              <w:t xml:space="preserve"> </w:t>
            </w:r>
            <w:r>
              <w:t>N.,</w:t>
            </w:r>
            <w:r>
              <w:rPr>
                <w:spacing w:val="39"/>
              </w:rPr>
              <w:t xml:space="preserve"> </w:t>
            </w:r>
            <w:r>
              <w:t>Swianiewicz,</w:t>
            </w:r>
            <w:r>
              <w:rPr>
                <w:spacing w:val="44"/>
              </w:rPr>
              <w:t xml:space="preserve"> </w:t>
            </w:r>
            <w:r>
              <w:t>P.,</w:t>
            </w:r>
            <w:r>
              <w:rPr>
                <w:spacing w:val="40"/>
              </w:rPr>
              <w:t xml:space="preserve"> </w:t>
            </w:r>
            <w:r>
              <w:t>Steyvers,</w:t>
            </w:r>
            <w:r>
              <w:rPr>
                <w:spacing w:val="44"/>
              </w:rPr>
              <w:t xml:space="preserve"> </w:t>
            </w:r>
            <w:r>
              <w:t>K.,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&amp;</w:t>
            </w:r>
          </w:p>
          <w:p w:rsidR="003B0B40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left="0"/>
            </w:pPr>
            <w:r>
              <w:t>Navarro, C. (2019). Patterns of Local Autonomy in Europe. Governance and Public Management. Cham: Palgrave Macmillan. doi:10.1007/978-3-319-95642-8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A8F"/>
    <w:multiLevelType w:val="hybridMultilevel"/>
    <w:tmpl w:val="22D0D638"/>
    <w:lvl w:ilvl="0" w:tplc="DB5625CC">
      <w:start w:val="1"/>
      <w:numFmt w:val="decimal"/>
      <w:lvlText w:val="%1."/>
      <w:lvlJc w:val="left"/>
      <w:pPr>
        <w:ind w:left="533" w:hanging="361"/>
      </w:pPr>
      <w:rPr>
        <w:rFonts w:hint="default"/>
        <w:spacing w:val="0"/>
        <w:w w:val="100"/>
        <w:lang w:val="ro-RO" w:eastAsia="en-US" w:bidi="ar-SA"/>
      </w:rPr>
    </w:lvl>
    <w:lvl w:ilvl="1" w:tplc="49BE574C">
      <w:numFmt w:val="bullet"/>
      <w:lvlText w:val="•"/>
      <w:lvlJc w:val="left"/>
      <w:pPr>
        <w:ind w:left="1360" w:hanging="361"/>
      </w:pPr>
      <w:rPr>
        <w:rFonts w:hint="default"/>
        <w:lang w:val="ro-RO" w:eastAsia="en-US" w:bidi="ar-SA"/>
      </w:rPr>
    </w:lvl>
    <w:lvl w:ilvl="2" w:tplc="50C052E6">
      <w:numFmt w:val="bullet"/>
      <w:lvlText w:val="•"/>
      <w:lvlJc w:val="left"/>
      <w:pPr>
        <w:ind w:left="2180" w:hanging="361"/>
      </w:pPr>
      <w:rPr>
        <w:rFonts w:hint="default"/>
        <w:lang w:val="ro-RO" w:eastAsia="en-US" w:bidi="ar-SA"/>
      </w:rPr>
    </w:lvl>
    <w:lvl w:ilvl="3" w:tplc="BE08B822">
      <w:numFmt w:val="bullet"/>
      <w:lvlText w:val="•"/>
      <w:lvlJc w:val="left"/>
      <w:pPr>
        <w:ind w:left="3000" w:hanging="361"/>
      </w:pPr>
      <w:rPr>
        <w:rFonts w:hint="default"/>
        <w:lang w:val="ro-RO" w:eastAsia="en-US" w:bidi="ar-SA"/>
      </w:rPr>
    </w:lvl>
    <w:lvl w:ilvl="4" w:tplc="95D8E8A6">
      <w:numFmt w:val="bullet"/>
      <w:lvlText w:val="•"/>
      <w:lvlJc w:val="left"/>
      <w:pPr>
        <w:ind w:left="3820" w:hanging="361"/>
      </w:pPr>
      <w:rPr>
        <w:rFonts w:hint="default"/>
        <w:lang w:val="ro-RO" w:eastAsia="en-US" w:bidi="ar-SA"/>
      </w:rPr>
    </w:lvl>
    <w:lvl w:ilvl="5" w:tplc="BC302C0A">
      <w:numFmt w:val="bullet"/>
      <w:lvlText w:val="•"/>
      <w:lvlJc w:val="left"/>
      <w:pPr>
        <w:ind w:left="4640" w:hanging="361"/>
      </w:pPr>
      <w:rPr>
        <w:rFonts w:hint="default"/>
        <w:lang w:val="ro-RO" w:eastAsia="en-US" w:bidi="ar-SA"/>
      </w:rPr>
    </w:lvl>
    <w:lvl w:ilvl="6" w:tplc="EF74EF64">
      <w:numFmt w:val="bullet"/>
      <w:lvlText w:val="•"/>
      <w:lvlJc w:val="left"/>
      <w:pPr>
        <w:ind w:left="5460" w:hanging="361"/>
      </w:pPr>
      <w:rPr>
        <w:rFonts w:hint="default"/>
        <w:lang w:val="ro-RO" w:eastAsia="en-US" w:bidi="ar-SA"/>
      </w:rPr>
    </w:lvl>
    <w:lvl w:ilvl="7" w:tplc="5DD04A6E">
      <w:numFmt w:val="bullet"/>
      <w:lvlText w:val="•"/>
      <w:lvlJc w:val="left"/>
      <w:pPr>
        <w:ind w:left="6280" w:hanging="361"/>
      </w:pPr>
      <w:rPr>
        <w:rFonts w:hint="default"/>
        <w:lang w:val="ro-RO" w:eastAsia="en-US" w:bidi="ar-SA"/>
      </w:rPr>
    </w:lvl>
    <w:lvl w:ilvl="8" w:tplc="F126F152">
      <w:numFmt w:val="bullet"/>
      <w:lvlText w:val="•"/>
      <w:lvlJc w:val="left"/>
      <w:pPr>
        <w:ind w:left="7100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2B7D20AB"/>
    <w:multiLevelType w:val="hybridMultilevel"/>
    <w:tmpl w:val="E03E4ECA"/>
    <w:lvl w:ilvl="0" w:tplc="312017BC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A566BF2"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 w:tplc="9C1C44FA"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 w:tplc="811817EE"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 w:tplc="8ABE01B8"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 w:tplc="63DE90BE"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 w:tplc="330A9076"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 w:tplc="AC1C4938"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 w:tplc="6584019C"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3" w15:restartNumberingAfterBreak="0">
    <w:nsid w:val="38E329CE"/>
    <w:multiLevelType w:val="hybridMultilevel"/>
    <w:tmpl w:val="18166976"/>
    <w:lvl w:ilvl="0" w:tplc="63729A00">
      <w:start w:val="1"/>
      <w:numFmt w:val="decimal"/>
      <w:lvlText w:val="%1."/>
      <w:lvlJc w:val="left"/>
      <w:pPr>
        <w:ind w:left="3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D749840">
      <w:numFmt w:val="bullet"/>
      <w:lvlText w:val="•"/>
      <w:lvlJc w:val="left"/>
      <w:pPr>
        <w:ind w:left="1198" w:hanging="284"/>
      </w:pPr>
      <w:rPr>
        <w:rFonts w:hint="default"/>
        <w:lang w:val="ro-RO" w:eastAsia="en-US" w:bidi="ar-SA"/>
      </w:rPr>
    </w:lvl>
    <w:lvl w:ilvl="2" w:tplc="5FC0AC96">
      <w:numFmt w:val="bullet"/>
      <w:lvlText w:val="•"/>
      <w:lvlJc w:val="left"/>
      <w:pPr>
        <w:ind w:left="2036" w:hanging="284"/>
      </w:pPr>
      <w:rPr>
        <w:rFonts w:hint="default"/>
        <w:lang w:val="ro-RO" w:eastAsia="en-US" w:bidi="ar-SA"/>
      </w:rPr>
    </w:lvl>
    <w:lvl w:ilvl="3" w:tplc="9D241F44">
      <w:numFmt w:val="bullet"/>
      <w:lvlText w:val="•"/>
      <w:lvlJc w:val="left"/>
      <w:pPr>
        <w:ind w:left="2874" w:hanging="284"/>
      </w:pPr>
      <w:rPr>
        <w:rFonts w:hint="default"/>
        <w:lang w:val="ro-RO" w:eastAsia="en-US" w:bidi="ar-SA"/>
      </w:rPr>
    </w:lvl>
    <w:lvl w:ilvl="4" w:tplc="BF50FBA2">
      <w:numFmt w:val="bullet"/>
      <w:lvlText w:val="•"/>
      <w:lvlJc w:val="left"/>
      <w:pPr>
        <w:ind w:left="3712" w:hanging="284"/>
      </w:pPr>
      <w:rPr>
        <w:rFonts w:hint="default"/>
        <w:lang w:val="ro-RO" w:eastAsia="en-US" w:bidi="ar-SA"/>
      </w:rPr>
    </w:lvl>
    <w:lvl w:ilvl="5" w:tplc="221AAD62">
      <w:numFmt w:val="bullet"/>
      <w:lvlText w:val="•"/>
      <w:lvlJc w:val="left"/>
      <w:pPr>
        <w:ind w:left="4550" w:hanging="284"/>
      </w:pPr>
      <w:rPr>
        <w:rFonts w:hint="default"/>
        <w:lang w:val="ro-RO" w:eastAsia="en-US" w:bidi="ar-SA"/>
      </w:rPr>
    </w:lvl>
    <w:lvl w:ilvl="6" w:tplc="F89631DC">
      <w:numFmt w:val="bullet"/>
      <w:lvlText w:val="•"/>
      <w:lvlJc w:val="left"/>
      <w:pPr>
        <w:ind w:left="5388" w:hanging="284"/>
      </w:pPr>
      <w:rPr>
        <w:rFonts w:hint="default"/>
        <w:lang w:val="ro-RO" w:eastAsia="en-US" w:bidi="ar-SA"/>
      </w:rPr>
    </w:lvl>
    <w:lvl w:ilvl="7" w:tplc="324C01C2">
      <w:numFmt w:val="bullet"/>
      <w:lvlText w:val="•"/>
      <w:lvlJc w:val="left"/>
      <w:pPr>
        <w:ind w:left="6226" w:hanging="284"/>
      </w:pPr>
      <w:rPr>
        <w:rFonts w:hint="default"/>
        <w:lang w:val="ro-RO" w:eastAsia="en-US" w:bidi="ar-SA"/>
      </w:rPr>
    </w:lvl>
    <w:lvl w:ilvl="8" w:tplc="E2F67A5A">
      <w:numFmt w:val="bullet"/>
      <w:lvlText w:val="•"/>
      <w:lvlJc w:val="left"/>
      <w:pPr>
        <w:ind w:left="7064" w:hanging="284"/>
      </w:pPr>
      <w:rPr>
        <w:rFonts w:hint="default"/>
        <w:lang w:val="ro-RO" w:eastAsia="en-US" w:bidi="ar-SA"/>
      </w:rPr>
    </w:lvl>
  </w:abstractNum>
  <w:abstractNum w:abstractNumId="4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590B4B7D"/>
    <w:multiLevelType w:val="hybridMultilevel"/>
    <w:tmpl w:val="9996B17C"/>
    <w:lvl w:ilvl="0" w:tplc="7522148E">
      <w:start w:val="1"/>
      <w:numFmt w:val="decimal"/>
      <w:lvlText w:val="%1."/>
      <w:lvlJc w:val="left"/>
      <w:pPr>
        <w:ind w:left="4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C26C02A"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 w:tplc="B64C246A"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 w:tplc="50A2D430"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 w:tplc="C748AEE2"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 w:tplc="BDF03592"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 w:tplc="976A32F2"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 w:tplc="BF047E3A"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 w:tplc="DCCAAE84"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abstractNum w:abstractNumId="6" w15:restartNumberingAfterBreak="0">
    <w:nsid w:val="5B66318A"/>
    <w:multiLevelType w:val="hybridMultilevel"/>
    <w:tmpl w:val="67FEE62E"/>
    <w:lvl w:ilvl="0" w:tplc="08FE3D7A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DFA203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66F066CC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36828924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BBC635AE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D94AA56E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1B724D0A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CAB05F64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0FB27D4A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num w:numId="1" w16cid:durableId="2120754790">
    <w:abstractNumId w:val="4"/>
  </w:num>
  <w:num w:numId="2" w16cid:durableId="935869497">
    <w:abstractNumId w:val="1"/>
  </w:num>
  <w:num w:numId="3" w16cid:durableId="1764689518">
    <w:abstractNumId w:val="6"/>
  </w:num>
  <w:num w:numId="4" w16cid:durableId="1327631837">
    <w:abstractNumId w:val="2"/>
  </w:num>
  <w:num w:numId="5" w16cid:durableId="1336881027">
    <w:abstractNumId w:val="5"/>
  </w:num>
  <w:num w:numId="6" w16cid:durableId="1021931441">
    <w:abstractNumId w:val="3"/>
  </w:num>
  <w:num w:numId="7" w16cid:durableId="124252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051F9B"/>
    <w:rsid w:val="00164AA8"/>
    <w:rsid w:val="00282AAB"/>
    <w:rsid w:val="002A1D9A"/>
    <w:rsid w:val="003B0B40"/>
    <w:rsid w:val="003E001E"/>
    <w:rsid w:val="00472193"/>
    <w:rsid w:val="005C633B"/>
    <w:rsid w:val="005D7BA3"/>
    <w:rsid w:val="006152EB"/>
    <w:rsid w:val="007C6821"/>
    <w:rsid w:val="00877D63"/>
    <w:rsid w:val="008910DE"/>
    <w:rsid w:val="009D06CC"/>
    <w:rsid w:val="009F505D"/>
    <w:rsid w:val="00B23342"/>
    <w:rsid w:val="00DA6175"/>
    <w:rsid w:val="00DA7801"/>
    <w:rsid w:val="00DB1255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6</cp:revision>
  <dcterms:created xsi:type="dcterms:W3CDTF">2026-04-08T16:33:00Z</dcterms:created>
  <dcterms:modified xsi:type="dcterms:W3CDTF">2026-04-10T18:18:00Z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