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7D037" w14:textId="77777777"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14:paraId="67CB8F9E" w14:textId="77777777"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14:paraId="07517EBD" w14:textId="77777777"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14:paraId="5C77C012" w14:textId="04C83923" w:rsidR="00164AA8" w:rsidRPr="00164AA8" w:rsidRDefault="00164AA8" w:rsidP="00F3291B">
      <w:pPr>
        <w:pStyle w:val="BodyText"/>
        <w:spacing w:before="0" w:after="0"/>
        <w:ind w:left="0" w:right="0" w:firstLine="0"/>
        <w:jc w:val="right"/>
        <w:rPr>
          <w:b w:val="0"/>
          <w:bCs w:val="0"/>
          <w:spacing w:val="-2"/>
        </w:rPr>
      </w:pPr>
      <w:r>
        <w:rPr>
          <w:b w:val="0"/>
          <w:bCs w:val="0"/>
          <w:spacing w:val="-2"/>
        </w:rPr>
        <w:t xml:space="preserve">Proces-verbal nr. 2, din 11.12.2024</w:t>
      </w:r>
    </w:p>
    <w:tbl>
      <w:tblPr>
        <w:tblW w:w="10861" w:type="dxa"/>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7"/>
        <w:gridCol w:w="719"/>
        <w:gridCol w:w="2292"/>
        <w:gridCol w:w="2430"/>
        <w:gridCol w:w="1515"/>
        <w:gridCol w:w="2258"/>
      </w:tblGrid>
      <w:tr w:rsidR="007C6821" w14:paraId="0DDA1FA4" w14:textId="77777777" w:rsidTr="00137B1D">
        <w:trPr>
          <w:trHeight w:val="350"/>
        </w:trPr>
        <w:tc>
          <w:tcPr>
            <w:tcW w:w="2366" w:type="dxa"/>
            <w:gridSpan w:val="2"/>
          </w:tcPr>
          <w:p w14:paraId="79106134" w14:textId="77777777" w:rsidR="007C6821" w:rsidRPr="00F3291B" w:rsidRDefault="007C6821" w:rsidP="00F3291B">
            <w:pPr>
              <w:pStyle w:val="TableParagraph"/>
              <w:ind w:left="0"/>
              <w:rPr>
                <w:b/>
                <w:bCs/>
              </w:rPr>
            </w:pPr>
            <w:r>
              <w:rPr>
                <w:b/>
                <w:bCs/>
              </w:rPr>
              <w:t>Program de doctorat</w:t>
            </w:r>
          </w:p>
        </w:tc>
        <w:tc>
          <w:tcPr>
            <w:tcW w:w="8495" w:type="dxa"/>
            <w:gridSpan w:val="4"/>
          </w:tcPr>
          <w:p w14:paraId="046E12F6" w14:textId="77777777" w:rsidR="007C6821" w:rsidRPr="00F3291B" w:rsidRDefault="00DB1255" w:rsidP="00F3291B">
            <w:pPr>
              <w:pStyle w:val="TableParagraph"/>
              <w:ind w:left="0"/>
              <w:jc w:val="center"/>
              <w:rPr>
                <w:b/>
                <w:bCs/>
              </w:rPr>
            </w:pPr>
            <w:r>
              <w:rPr>
                <w:b/>
                <w:bCs/>
              </w:rPr>
              <w:t>Științe politice</w:t>
            </w:r>
          </w:p>
        </w:tc>
      </w:tr>
      <w:tr w:rsidR="003B0B40" w14:paraId="13848ECD" w14:textId="77777777" w:rsidTr="00137B1D">
        <w:trPr>
          <w:trHeight w:val="350"/>
        </w:trPr>
        <w:tc>
          <w:tcPr>
            <w:tcW w:w="2366" w:type="dxa"/>
            <w:gridSpan w:val="2"/>
          </w:tcPr>
          <w:p w14:paraId="03FC99DE" w14:textId="77777777"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495" w:type="dxa"/>
            <w:gridSpan w:val="4"/>
          </w:tcPr>
          <w:p w14:paraId="0CA79179" w14:textId="77777777" w:rsidR="003B0B40" w:rsidRPr="00FD7460" w:rsidRDefault="00000000" w:rsidP="00F3291B">
            <w:pPr>
              <w:pStyle w:val="TableParagraph"/>
              <w:ind w:left="0"/>
              <w:jc w:val="center"/>
              <w:rPr>
                <w:b/>
                <w:bCs/>
              </w:rPr>
            </w:pPr>
            <w:r>
              <w:rPr>
                <w:b/>
                <w:bCs/>
              </w:rPr>
              <w:t>S.02.O.07. Studiul istoriografic și bibliografic în domeniul de cercetare</w:t>
            </w:r>
          </w:p>
        </w:tc>
      </w:tr>
      <w:tr w:rsidR="003B0B40" w14:paraId="13084435" w14:textId="77777777" w:rsidTr="00137B1D">
        <w:trPr>
          <w:trHeight w:val="90"/>
        </w:trPr>
        <w:tc>
          <w:tcPr>
            <w:tcW w:w="2366" w:type="dxa"/>
            <w:gridSpan w:val="2"/>
          </w:tcPr>
          <w:p w14:paraId="5F66F8A8" w14:textId="77777777" w:rsidR="00F3291B" w:rsidRPr="00F3291B" w:rsidRDefault="00F3291B" w:rsidP="00F3291B">
            <w:pPr>
              <w:pStyle w:val="TableParagraph"/>
              <w:ind w:left="0"/>
              <w:rPr>
                <w:b/>
                <w:bCs/>
              </w:rPr>
            </w:pPr>
            <w:r>
              <w:rPr>
                <w:b/>
                <w:bCs/>
              </w:rPr>
              <w:t>Titularul de curs</w:t>
            </w:r>
          </w:p>
        </w:tc>
        <w:tc>
          <w:tcPr>
            <w:tcW w:w="8495" w:type="dxa"/>
            <w:gridSpan w:val="4"/>
          </w:tcPr>
          <w:p w14:paraId="0C5E28FD" w14:textId="77777777"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14:paraId="1357313A" w14:textId="77777777" w:rsidR="003B0B40" w:rsidRPr="00F3291B" w:rsidRDefault="003B0B40" w:rsidP="00F3291B">
            <w:pPr>
              <w:pStyle w:val="TableParagraph"/>
              <w:ind w:left="0"/>
              <w:jc w:val="center"/>
              <w:rPr>
                <w:b/>
                <w:bCs/>
              </w:rPr>
            </w:pPr>
          </w:p>
        </w:tc>
      </w:tr>
      <w:tr w:rsidR="003B0B40" w14:paraId="7FE590DF" w14:textId="77777777" w:rsidTr="00137B1D">
        <w:trPr>
          <w:trHeight w:val="726"/>
        </w:trPr>
        <w:tc>
          <w:tcPr>
            <w:tcW w:w="10861" w:type="dxa"/>
            <w:gridSpan w:val="6"/>
          </w:tcPr>
          <w:p w14:paraId="3F2D5954" w14:textId="77777777" w:rsidR="003B0B40" w:rsidRDefault="00000000" w:rsidP="00F3291B">
            <w:pPr>
              <w:pStyle w:val="TableParagraph"/>
              <w:ind w:left="0"/>
              <w:jc w:val="center"/>
              <w:rPr>
                <w:b/>
                <w:spacing w:val="-2"/>
              </w:rPr>
            </w:pPr>
            <w:r>
              <w:rPr>
                <w:b/>
                <w:bCs/>
              </w:rPr>
              <w:t>Ciclul III, Doctorat</w:t>
            </w:r>
          </w:p>
          <w:p w14:paraId="49C8CE92" w14:textId="77777777" w:rsidR="00F3291B" w:rsidRDefault="00F3291B" w:rsidP="00F3291B">
            <w:pPr>
              <w:pStyle w:val="TableParagraph"/>
              <w:ind w:left="0"/>
              <w:rPr>
                <w:b/>
                <w:spacing w:val="-2"/>
              </w:rPr>
            </w:pPr>
            <w:r>
              <w:rPr>
                <w:b/>
                <w:bCs/>
              </w:rPr>
              <w:t>Anul I, Semestrul II</w:t>
            </w:r>
          </w:p>
          <w:p w14:paraId="37A995D3" w14:textId="77777777" w:rsidR="00F3291B" w:rsidRDefault="00F3291B" w:rsidP="00F3291B">
            <w:pPr>
              <w:pStyle w:val="TableParagraph"/>
              <w:ind w:left="0"/>
              <w:rPr>
                <w:b/>
              </w:rPr>
            </w:pPr>
            <w:r>
              <w:rPr>
                <w:b/>
                <w:bCs/>
              </w:rPr>
              <w:t>Codul disciplinei: S.02.O.07.</w:t>
            </w:r>
          </w:p>
        </w:tc>
      </w:tr>
      <w:tr w:rsidR="003B0B40" w14:paraId="1E4DFB06" w14:textId="77777777" w:rsidTr="00137B1D">
        <w:trPr>
          <w:trHeight w:val="233"/>
        </w:trPr>
        <w:tc>
          <w:tcPr>
            <w:tcW w:w="7088" w:type="dxa"/>
            <w:gridSpan w:val="4"/>
          </w:tcPr>
          <w:p w14:paraId="24F3B752" w14:textId="77777777"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14:paraId="34CC8574" w14:textId="77777777"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258" w:type="dxa"/>
            <w:vMerge w:val="restart"/>
          </w:tcPr>
          <w:p w14:paraId="2528839E" w14:textId="77777777"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14:paraId="739DC39B" w14:textId="77777777" w:rsidTr="00137B1D">
        <w:trPr>
          <w:trHeight w:val="250"/>
        </w:trPr>
        <w:tc>
          <w:tcPr>
            <w:tcW w:w="1647" w:type="dxa"/>
          </w:tcPr>
          <w:p w14:paraId="30A3D89E" w14:textId="77777777" w:rsidR="003B0B40" w:rsidRPr="00F3291B" w:rsidRDefault="00000000" w:rsidP="00F3291B">
            <w:pPr>
              <w:pStyle w:val="TableParagraph"/>
              <w:ind w:left="0"/>
              <w:jc w:val="center"/>
              <w:rPr>
                <w:b/>
                <w:bCs/>
              </w:rPr>
            </w:pPr>
            <w:r>
              <w:rPr>
                <w:b/>
                <w:bCs/>
                <w:spacing w:val="-4"/>
              </w:rPr>
              <w:t>Tota</w:t>
            </w:r>
            <w:r>
              <w:rPr>
                <w:b/>
                <w:bCs/>
                <w:spacing w:val="-10"/>
              </w:rPr>
              <w:t>l</w:t>
            </w:r>
          </w:p>
        </w:tc>
        <w:tc>
          <w:tcPr>
            <w:tcW w:w="3011" w:type="dxa"/>
            <w:gridSpan w:val="2"/>
          </w:tcPr>
          <w:p w14:paraId="18B9EB29" w14:textId="77777777"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14:paraId="2F7F3B7E" w14:textId="77777777"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14:paraId="3F1A2212" w14:textId="77777777" w:rsidR="003B0B40" w:rsidRPr="00F3291B" w:rsidRDefault="003B0B40" w:rsidP="00F3291B">
            <w:pPr>
              <w:jc w:val="center"/>
              <w:rPr>
                <w:b/>
                <w:bCs/>
                <w:sz w:val="2"/>
                <w:szCs w:val="2"/>
              </w:rPr>
            </w:pPr>
          </w:p>
        </w:tc>
        <w:tc>
          <w:tcPr>
            <w:tcW w:w="2258" w:type="dxa"/>
            <w:vMerge/>
            <w:tcBorders>
              <w:top w:val="nil"/>
            </w:tcBorders>
          </w:tcPr>
          <w:p w14:paraId="6899E973" w14:textId="77777777" w:rsidR="003B0B40" w:rsidRPr="00F3291B" w:rsidRDefault="003B0B40" w:rsidP="00F3291B">
            <w:pPr>
              <w:jc w:val="center"/>
              <w:rPr>
                <w:b/>
                <w:bCs/>
                <w:sz w:val="2"/>
                <w:szCs w:val="2"/>
              </w:rPr>
            </w:pPr>
          </w:p>
        </w:tc>
      </w:tr>
      <w:tr w:rsidR="003B0B40" w14:paraId="38EC62F3" w14:textId="77777777" w:rsidTr="00137B1D">
        <w:trPr>
          <w:trHeight w:val="255"/>
        </w:trPr>
        <w:tc>
          <w:tcPr>
            <w:tcW w:w="1647" w:type="dxa"/>
          </w:tcPr>
          <w:p w14:paraId="0666018E" w14:textId="77777777" w:rsidR="003B0B40" w:rsidRPr="00F3291B" w:rsidRDefault="00000000" w:rsidP="00F3291B">
            <w:pPr>
              <w:pStyle w:val="TableParagraph"/>
              <w:ind w:left="0"/>
              <w:jc w:val="center"/>
              <w:rPr>
                <w:b/>
                <w:bCs/>
              </w:rPr>
            </w:pPr>
            <w:r>
              <w:rPr>
                <w:b/>
                <w:bCs/>
                <w:spacing w:val="-5"/>
              </w:rPr>
              <w:t>180</w:t>
            </w:r>
          </w:p>
        </w:tc>
        <w:tc>
          <w:tcPr>
            <w:tcW w:w="3011" w:type="dxa"/>
            <w:gridSpan w:val="2"/>
          </w:tcPr>
          <w:p w14:paraId="12565BF6" w14:textId="77777777" w:rsidR="003B0B40" w:rsidRPr="00F3291B" w:rsidRDefault="00000000" w:rsidP="00F3291B">
            <w:pPr>
              <w:pStyle w:val="TableParagraph"/>
              <w:ind w:left="0"/>
              <w:jc w:val="center"/>
              <w:rPr>
                <w:b/>
                <w:bCs/>
              </w:rPr>
            </w:pPr>
            <w:r>
              <w:rPr>
                <w:b/>
                <w:bCs/>
                <w:spacing w:val="-5"/>
              </w:rPr>
              <w:t>10</w:t>
            </w:r>
          </w:p>
        </w:tc>
        <w:tc>
          <w:tcPr>
            <w:tcW w:w="2430" w:type="dxa"/>
          </w:tcPr>
          <w:p w14:paraId="1612A8C3" w14:textId="77777777" w:rsidR="003B0B40" w:rsidRPr="00F3291B" w:rsidRDefault="00000000" w:rsidP="00F3291B">
            <w:pPr>
              <w:pStyle w:val="TableParagraph"/>
              <w:ind w:left="0"/>
              <w:jc w:val="center"/>
              <w:rPr>
                <w:b/>
                <w:bCs/>
              </w:rPr>
            </w:pPr>
            <w:r>
              <w:rPr>
                <w:b/>
                <w:bCs/>
                <w:spacing w:val="-5"/>
              </w:rPr>
              <w:t>170</w:t>
            </w:r>
          </w:p>
        </w:tc>
        <w:tc>
          <w:tcPr>
            <w:tcW w:w="1515" w:type="dxa"/>
          </w:tcPr>
          <w:p w14:paraId="64E103C0" w14:textId="77777777" w:rsidR="003B0B40" w:rsidRPr="00F3291B" w:rsidRDefault="00000000" w:rsidP="00F3291B">
            <w:pPr>
              <w:pStyle w:val="TableParagraph"/>
              <w:ind w:left="0"/>
              <w:jc w:val="center"/>
              <w:rPr>
                <w:b/>
                <w:bCs/>
              </w:rPr>
            </w:pPr>
            <w:r>
              <w:rPr>
                <w:b/>
                <w:bCs/>
                <w:spacing w:val="-10"/>
              </w:rPr>
              <w:t>6</w:t>
            </w:r>
          </w:p>
        </w:tc>
        <w:tc>
          <w:tcPr>
            <w:tcW w:w="2258" w:type="dxa"/>
          </w:tcPr>
          <w:p w14:paraId="2759BE75" w14:textId="77777777" w:rsidR="003B0B40" w:rsidRPr="00F3291B" w:rsidRDefault="00000000" w:rsidP="00F3291B">
            <w:pPr>
              <w:pStyle w:val="TableParagraph"/>
              <w:ind w:left="0"/>
              <w:jc w:val="center"/>
              <w:rPr>
                <w:b/>
                <w:bCs/>
              </w:rPr>
            </w:pPr>
            <w:r>
              <w:rPr>
                <w:b/>
                <w:bCs/>
                <w:spacing w:val="-2"/>
              </w:rPr>
              <w:t>Exame</w:t>
            </w:r>
            <w:r>
              <w:rPr>
                <w:b/>
                <w:bCs/>
                <w:spacing w:val="-10"/>
              </w:rPr>
              <w:t>n</w:t>
            </w:r>
          </w:p>
        </w:tc>
      </w:tr>
      <w:tr w:rsidR="003B0B40" w14:paraId="576176B8" w14:textId="77777777" w:rsidTr="00137B1D">
        <w:trPr>
          <w:trHeight w:val="1987"/>
        </w:trPr>
        <w:tc>
          <w:tcPr>
            <w:tcW w:w="1647" w:type="dxa"/>
          </w:tcPr>
          <w:p w14:paraId="5F9CD2F3" w14:textId="77777777" w:rsidR="003B0B40" w:rsidRDefault="00000000" w:rsidP="00F3291B">
            <w:pPr>
              <w:pStyle w:val="TableParagraph"/>
              <w:ind w:left="0"/>
              <w:rPr>
                <w:b/>
              </w:rPr>
            </w:pPr>
            <w:r>
              <w:rPr>
                <w:b/>
                <w:spacing w:val="-2"/>
              </w:rPr>
              <w:t>Fundamentar</w:t>
            </w:r>
            <w:r>
              <w:rPr>
                <w:b/>
                <w:spacing w:val="-10"/>
              </w:rPr>
              <w:t>e</w:t>
            </w:r>
          </w:p>
        </w:tc>
        <w:tc>
          <w:tcPr>
            <w:tcW w:w="9214" w:type="dxa"/>
            <w:gridSpan w:val="5"/>
          </w:tcPr>
          <w:p w14:paraId="1E55A9D8" w14:textId="77777777" w:rsidR="003B0B40" w:rsidRDefault="003132E4" w:rsidP="00877D63">
            <w:pPr>
              <w:pStyle w:val="TableParagraph"/>
              <w:ind w:left="0"/>
              <w:jc w:val="both"/>
            </w:pPr>
            <w:r>
              <w:t>Disciplina oferă o viziune de ansamblu privind evoluția cadrelor teoretice și conceptuale în știinta politică. Studiul disciplinei implică dezvoltarea de competențe privind identificarea, analiza și sinteza resurselor bibliografice relevante studiului fenomenelor politice. Studenții-doctoranzi vor învăța să utilizeze baze de date naționale și internaționale, să identifice sursele relevante cercetării, să evidențieze conceptele și teoriile consacrate din domeniu, să analizeze dinamica cercetării în domeniu. Studiul istoriografic și bibliografic permite doctorandului să evalueze calitatea unei surse academice și să poată delimita între sursele academice și sursele non-academice, să cunoască gradul de cercetare a problemei în tradițiile de cercetare academică ale știintei politice și să aprecieze statutul cercetarii în stadiul actual al cunoașterii.</w:t>
            </w:r>
          </w:p>
        </w:tc>
      </w:tr>
      <w:tr w:rsidR="003B0B40" w14:paraId="7FA7B369" w14:textId="77777777" w:rsidTr="00137B1D">
        <w:trPr>
          <w:trHeight w:val="1747"/>
        </w:trPr>
        <w:tc>
          <w:tcPr>
            <w:tcW w:w="1647" w:type="dxa"/>
          </w:tcPr>
          <w:p w14:paraId="13E65D36" w14:textId="1D45B0A5" w:rsidR="003B0B40" w:rsidRDefault="00000000" w:rsidP="00234863">
            <w:pPr>
              <w:pStyle w:val="TableParagraph"/>
              <w:ind w:left="0"/>
              <w:rPr>
                <w:b/>
              </w:rPr>
            </w:pPr>
            <w:r>
              <w:rPr>
                <w:b/>
                <w:spacing w:val="-2"/>
              </w:rPr>
              <w:t>Competenţele obţinut</w:t>
            </w:r>
            <w:r>
              <w:rPr>
                <w:b/>
                <w:spacing w:val="-10"/>
              </w:rPr>
              <w:t>e</w:t>
            </w:r>
          </w:p>
        </w:tc>
        <w:tc>
          <w:tcPr>
            <w:tcW w:w="9214" w:type="dxa"/>
            <w:gridSpan w:val="5"/>
          </w:tcPr>
          <w:p w14:paraId="0792ADB9" w14:textId="77777777" w:rsidR="007C6821" w:rsidRPr="00DB1255" w:rsidRDefault="00000000" w:rsidP="00877D63">
            <w:r>
              <w:t>CP 1. Stabilirea cadrului de necesități de cercetare, expertiză și inovare în domeniul științelor politice.</w:t>
            </w:r>
          </w:p>
          <w:p w14:paraId="211F422A" w14:textId="77777777" w:rsidR="003B0B40" w:rsidRPr="00F3291B" w:rsidRDefault="00000000" w:rsidP="00877D63">
            <w:r>
              <w:t>CP 2. Implementarea propriilor rezultate științifice în domeniul științelor politice în baza cercetării problemelor teoretice și practice la nivel național și mondial.</w:t>
            </w:r>
          </w:p>
          <w:p w14:paraId="473A0253" w14:textId="77777777" w:rsidR="003B0B40" w:rsidRPr="00F3291B" w:rsidRDefault="00000000" w:rsidP="00877D63">
            <w:pPr>
              <w:pStyle w:val="TableParagraph"/>
              <w:ind w:left="0"/>
            </w:pPr>
            <w:r>
              <w:t>CP 3. Expertizarea activităților și evenimentelor ce țin de domeniul politic la nivel național și internațional.</w:t>
            </w:r>
          </w:p>
          <w:p w14:paraId="1778056B" w14:textId="77777777" w:rsidR="003B0B40" w:rsidRPr="00F3291B" w:rsidRDefault="00000000" w:rsidP="00877D63">
            <w:r>
              <w:t>CP 4. Conceptualizarea programelor de studii în domeniul științelor politice.</w:t>
            </w:r>
          </w:p>
          <w:p w14:paraId="7274967C" w14:textId="77777777" w:rsidR="00F3291B" w:rsidRDefault="00F3291B" w:rsidP="00877D63">
            <w:r>
              <w:t>CP 5. Dezvoltarea cursurilor universitare în domeniul științelor politice.</w:t>
            </w:r>
          </w:p>
          <w:p w14:paraId="7DBE1139" w14:textId="77777777" w:rsidR="00F3291B" w:rsidRPr="004F489A" w:rsidRDefault="00F3291B" w:rsidP="00877D63">
            <w:r>
              <w:t>CP 6. Asigurarea educației din domeniul științelor politice cu suport științifico-didactic.</w:t>
            </w:r>
          </w:p>
        </w:tc>
      </w:tr>
      <w:tr w:rsidR="003B0B40" w14:paraId="16D85F03" w14:textId="77777777" w:rsidTr="00137B1D">
        <w:trPr>
          <w:trHeight w:val="961"/>
        </w:trPr>
        <w:tc>
          <w:tcPr>
            <w:tcW w:w="1647" w:type="dxa"/>
          </w:tcPr>
          <w:p w14:paraId="5F9ABF26" w14:textId="77777777" w:rsidR="003B0B40" w:rsidRDefault="00000000" w:rsidP="00F3291B">
            <w:pPr>
              <w:pStyle w:val="TableParagraph"/>
              <w:ind w:left="0"/>
              <w:rPr>
                <w:b/>
              </w:rPr>
            </w:pPr>
            <w:r>
              <w:rPr>
                <w:b/>
                <w:spacing w:val="-2"/>
              </w:rPr>
              <w:t>Conţinutul disciplin</w:t>
            </w:r>
            <w:r>
              <w:rPr>
                <w:b/>
                <w:spacing w:val="-6"/>
              </w:rPr>
              <w:t>ei</w:t>
            </w:r>
          </w:p>
        </w:tc>
        <w:tc>
          <w:tcPr>
            <w:tcW w:w="9214" w:type="dxa"/>
            <w:gridSpan w:val="5"/>
          </w:tcPr>
          <w:p w14:paraId="4EA40652" w14:textId="77777777" w:rsidR="003132E4" w:rsidRDefault="003132E4" w:rsidP="003132E4">
            <w:pPr>
              <w:pStyle w:val="TableParagraph"/>
              <w:numPr>
                <w:ilvl w:val="0"/>
                <w:numId w:val="2"/>
              </w:numPr>
              <w:tabs>
                <w:tab w:val="left" w:pos="474"/>
              </w:tabs>
              <w:spacing w:line="249" w:lineRule="exact"/>
            </w:pPr>
            <w:r>
              <w:t>Teme majore în studiul știintelor politice.</w:t>
            </w:r>
          </w:p>
          <w:p w14:paraId="059358C0" w14:textId="77777777" w:rsidR="00350DFC" w:rsidRDefault="00000000">
            <w:pPr>
              <w:pStyle w:val="TableParagraph"/>
              <w:numPr>
                <w:ilvl w:val="0"/>
                <w:numId w:val="2"/>
              </w:numPr>
              <w:tabs>
                <w:tab w:val="left" w:pos="474"/>
              </w:tabs>
              <w:spacing w:line="249" w:lineRule="exact"/>
            </w:pPr>
            <w:r>
              <w:t>Tehnici și strategii de identificare a resurselor bibliografice în știintele politice.</w:t>
            </w:r>
          </w:p>
          <w:p w14:paraId="00C072E1" w14:textId="77777777" w:rsidR="00350DFC" w:rsidRDefault="00000000">
            <w:pPr>
              <w:pStyle w:val="TableParagraph"/>
              <w:numPr>
                <w:ilvl w:val="0"/>
                <w:numId w:val="2"/>
              </w:numPr>
              <w:tabs>
                <w:tab w:val="left" w:pos="474"/>
              </w:tabs>
              <w:spacing w:line="249" w:lineRule="exact"/>
            </w:pPr>
            <w:r>
              <w:t>Evaluarea critică a surselor academice în domeniul politic.</w:t>
            </w:r>
          </w:p>
          <w:p w14:paraId="7203CCE5" w14:textId="77777777" w:rsidR="00350DFC" w:rsidRDefault="00000000">
            <w:pPr>
              <w:pStyle w:val="TableParagraph"/>
              <w:numPr>
                <w:ilvl w:val="0"/>
                <w:numId w:val="2"/>
              </w:numPr>
              <w:tabs>
                <w:tab w:val="left" w:pos="474"/>
              </w:tabs>
              <w:spacing w:line="249" w:lineRule="exact"/>
            </w:pPr>
            <w:r>
              <w:t>Structurarea datelor și elaborarea cadrului epistemologic al propriei cercetări.</w:t>
            </w:r>
          </w:p>
        </w:tc>
      </w:tr>
      <w:tr w:rsidR="003B0B40" w14:paraId="38BC49D0" w14:textId="77777777" w:rsidTr="00137B1D">
        <w:trPr>
          <w:trHeight w:val="843"/>
        </w:trPr>
        <w:tc>
          <w:tcPr>
            <w:tcW w:w="1647" w:type="dxa"/>
          </w:tcPr>
          <w:p w14:paraId="05C1B1D0" w14:textId="77777777"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9214" w:type="dxa"/>
            <w:gridSpan w:val="5"/>
          </w:tcPr>
          <w:p w14:paraId="476C97F2" w14:textId="1044A0AD" w:rsidR="0068682B" w:rsidRPr="00234863" w:rsidRDefault="00000000" w:rsidP="00234863">
            <w:pPr>
              <w:pStyle w:val="TableParagraph"/>
              <w:ind w:left="0"/>
              <w:rPr>
                <w:b/>
                <w:bCs/>
              </w:rPr>
            </w:pPr>
            <w:r>
              <w:rPr>
                <w:b/>
                <w:bCs/>
              </w:rPr>
              <w:t>Surse bibliografice:</w:t>
            </w:r>
          </w:p>
          <w:p w14:paraId="2C0DF250" w14:textId="2E59FF6A" w:rsidR="0068682B" w:rsidRPr="00234863" w:rsidRDefault="0068682B" w:rsidP="00137B1D">
            <w:pPr>
              <w:pStyle w:val="ListParagraph"/>
              <w:widowControl/>
              <w:numPr>
                <w:ilvl w:val="0"/>
                <w:numId w:val="10"/>
              </w:numPr>
              <w:autoSpaceDE/>
              <w:autoSpaceDN/>
              <w:ind w:left="136" w:right="18" w:firstLine="0"/>
              <w:contextualSpacing/>
              <w:jc w:val="both"/>
              <w:rPr>
                <w:sz w:val="20"/>
                <w:szCs w:val="20"/>
                <w:lang w:val="it-IT"/>
              </w:rPr>
            </w:pPr>
            <w:r>
              <w:rPr>
                <w:sz w:val="20"/>
                <w:szCs w:val="20"/>
                <w:lang w:val="it-IT"/>
              </w:rPr>
              <w:t xml:space="preserve">Cebotari S. Istoriografia și metodologia cercetării geopoliticii. Enciclopedica. Revistă de istorie a ştiinţei și studii enciclopedice, nr. 1-2 (6-7), 2014. </w:t>
            </w:r>
            <w:hyperlink r:id="rId5" w:history="1">
              <w:r>
                <w:rPr>
                  <w:rStyle w:val="Hyperlink"/>
                  <w:sz w:val="20"/>
                  <w:szCs w:val="20"/>
                  <w:lang w:val="it-IT"/>
                </w:rPr>
                <w:t>https://enciclopedia.asm.md/wp-content/uploads/Revista_Enciclopedica_01_02_2014.pdf</w:t>
              </w:r>
            </w:hyperlink>
            <w:r>
              <w:rPr>
                <w:sz w:val="20"/>
                <w:szCs w:val="20"/>
                <w:lang w:val="it-IT"/>
              </w:rPr>
              <w:t xml:space="preserve"> </w:t>
            </w:r>
          </w:p>
          <w:p w14:paraId="2E15A0E9" w14:textId="6AC7894C" w:rsidR="0068682B" w:rsidRPr="00234863" w:rsidRDefault="0068682B" w:rsidP="00137B1D">
            <w:pPr>
              <w:pStyle w:val="ListParagraph"/>
              <w:widowControl/>
              <w:numPr>
                <w:ilvl w:val="0"/>
                <w:numId w:val="10"/>
              </w:numPr>
              <w:autoSpaceDE/>
              <w:autoSpaceDN/>
              <w:ind w:left="136" w:firstLine="0"/>
              <w:contextualSpacing/>
              <w:jc w:val="both"/>
              <w:rPr>
                <w:sz w:val="20"/>
                <w:szCs w:val="20"/>
                <w:lang w:val="it-IT"/>
              </w:rPr>
            </w:pPr>
            <w:r>
              <w:rPr>
                <w:sz w:val="20"/>
                <w:szCs w:val="20"/>
                <w:lang w:val="it-IT"/>
              </w:rPr>
              <w:t xml:space="preserve">Cebotari S. Interesele geostrategice ale Federației Ruse în literatura de specialitate internațională. Enciclopedica. Revistă de istorie a ştiinţei și studii enciclopedice, nr. 1-2 (6-7), </w:t>
            </w:r>
            <w:hyperlink r:id="rId6" w:history="1">
              <w:r>
                <w:rPr>
                  <w:rStyle w:val="Hyperlink"/>
                  <w:sz w:val="20"/>
                  <w:szCs w:val="20"/>
                  <w:lang w:val="it-IT"/>
                </w:rPr>
                <w:t>https://enciclopedia.asm.md/wp-content/uploads/Revista_Enciclopedica_01_02_2014.pdf</w:t>
              </w:r>
            </w:hyperlink>
            <w:r>
              <w:rPr>
                <w:sz w:val="20"/>
                <w:szCs w:val="20"/>
                <w:lang w:val="it-IT"/>
              </w:rPr>
              <w:t xml:space="preserve"> </w:t>
            </w:r>
          </w:p>
          <w:p w14:paraId="0ECAC6D1" w14:textId="0F4D055B" w:rsidR="0068682B" w:rsidRPr="00234863" w:rsidRDefault="0068682B" w:rsidP="00137B1D">
            <w:pPr>
              <w:pStyle w:val="ListParagraph"/>
              <w:widowControl/>
              <w:numPr>
                <w:ilvl w:val="0"/>
                <w:numId w:val="10"/>
              </w:numPr>
              <w:autoSpaceDE/>
              <w:autoSpaceDN/>
              <w:ind w:left="136" w:firstLine="0"/>
              <w:contextualSpacing/>
              <w:jc w:val="both"/>
              <w:rPr>
                <w:sz w:val="20"/>
                <w:szCs w:val="20"/>
                <w:lang w:val="it-IT"/>
              </w:rPr>
            </w:pPr>
            <w:r>
              <w:rPr>
                <w:sz w:val="20"/>
                <w:szCs w:val="20"/>
                <w:lang w:val="it-IT"/>
              </w:rPr>
              <w:t xml:space="preserve"> Cebotari S. Tendințe geopolitice în bazinul Mării Negre. </w:t>
            </w:r>
            <w:r>
              <w:rPr>
                <w:sz w:val="20"/>
                <w:szCs w:val="20"/>
                <w:lang w:val="en-US"/>
              </w:rPr>
              <w:t xml:space="preserve">Strengthening Security and Stability in the New National, Regional and Global Realities. </w:t>
            </w:r>
            <w:hyperlink r:id="rId7" w:history="1">
              <w:r>
                <w:rPr>
                  <w:rStyle w:val="Hyperlink"/>
                  <w:sz w:val="20"/>
                  <w:szCs w:val="20"/>
                  <w:lang w:val="en-US"/>
                </w:rPr>
                <w:t>https://conferinte.stiu.md/sites/default/files/evenimente/CZU-Volumul%20Strengthening%20Security%20_RABOCII%20%282%29.pdf</w:t>
              </w:r>
            </w:hyperlink>
            <w:r>
              <w:rPr>
                <w:sz w:val="20"/>
                <w:szCs w:val="20"/>
                <w:lang w:val="en-US"/>
              </w:rPr>
              <w:t xml:space="preserve"> </w:t>
            </w:r>
          </w:p>
          <w:p w14:paraId="1439EDEF" w14:textId="6023D362" w:rsidR="0068682B" w:rsidRPr="00234863" w:rsidRDefault="0068682B" w:rsidP="00137B1D">
            <w:pPr>
              <w:pStyle w:val="ListParagraph"/>
              <w:widowControl/>
              <w:numPr>
                <w:ilvl w:val="0"/>
                <w:numId w:val="10"/>
              </w:numPr>
              <w:autoSpaceDE/>
              <w:autoSpaceDN/>
              <w:ind w:left="136" w:firstLine="0"/>
              <w:contextualSpacing/>
              <w:jc w:val="both"/>
              <w:rPr>
                <w:sz w:val="20"/>
                <w:szCs w:val="20"/>
                <w:lang w:val="it-IT"/>
              </w:rPr>
            </w:pPr>
            <w:r>
              <w:rPr>
                <w:sz w:val="20"/>
                <w:szCs w:val="20"/>
                <w:lang w:val="it-IT"/>
              </w:rPr>
              <w:t xml:space="preserve">Cebotari S. Dimensiunea VUCA în reconfigurarea ordinii internaționale contemporane. </w:t>
            </w:r>
            <w:hyperlink r:id="rId8" w:history="1">
              <w:r>
                <w:rPr>
                  <w:rStyle w:val="Hyperlink"/>
                  <w:sz w:val="20"/>
                  <w:szCs w:val="20"/>
                  <w:lang w:val="it-IT"/>
                </w:rPr>
                <w:t>https://ibn.idsi.md/sites/default/files/imag_file/Culegere_de_articole_Conf.ICI_2025_%C8%98tiin%C8%9Be-sociale_compressed-186-191.pdf</w:t>
              </w:r>
            </w:hyperlink>
            <w:r>
              <w:rPr>
                <w:sz w:val="20"/>
                <w:szCs w:val="20"/>
                <w:lang w:val="it-IT"/>
              </w:rPr>
              <w:t xml:space="preserve"> </w:t>
            </w:r>
          </w:p>
          <w:p w14:paraId="0D69B189" w14:textId="0584C050" w:rsidR="0068682B" w:rsidRPr="00234863" w:rsidRDefault="0068682B" w:rsidP="00137B1D">
            <w:pPr>
              <w:pStyle w:val="ListParagraph"/>
              <w:widowControl/>
              <w:numPr>
                <w:ilvl w:val="0"/>
                <w:numId w:val="10"/>
              </w:numPr>
              <w:shd w:val="clear" w:color="auto" w:fill="FFFFFF"/>
              <w:adjustRightInd w:val="0"/>
              <w:ind w:left="136" w:firstLine="0"/>
              <w:contextualSpacing/>
              <w:jc w:val="both"/>
              <w:rPr>
                <w:sz w:val="20"/>
                <w:szCs w:val="20"/>
                <w:lang w:val="it-IT"/>
              </w:rPr>
            </w:pPr>
            <w:r>
              <w:rPr>
                <w:sz w:val="20"/>
                <w:szCs w:val="20"/>
                <w:lang w:val="en-US"/>
              </w:rPr>
              <w:t xml:space="preserve">Keohane, R. O., Nye, J. S. </w:t>
            </w:r>
            <w:r>
              <w:rPr>
                <w:rStyle w:val="Emphasis"/>
                <w:sz w:val="20"/>
                <w:szCs w:val="20"/>
                <w:lang w:val="en-US"/>
              </w:rPr>
              <w:t>Power and Interdependence: World Politics in Transition</w:t>
            </w:r>
            <w:r>
              <w:rPr>
                <w:sz w:val="20"/>
                <w:szCs w:val="20"/>
                <w:lang w:val="en-US"/>
              </w:rPr>
              <w:t>. 3rd ed. Boston: Little, Brown and Company, 1989. 315 p. ISBN: 978</w:t>
              <w:noBreakHyphen/>
              <w:t>0316559385</w:t>
            </w:r>
            <w:r>
              <w:rPr>
                <w:sz w:val="20"/>
                <w:szCs w:val="20"/>
                <w:lang w:val="ro-MD"/>
              </w:rPr>
              <w:t xml:space="preserve"> </w:t>
            </w:r>
            <w:r>
              <w:rPr>
                <w:rFonts w:eastAsiaTheme="minorEastAsia"/>
                <w:sz w:val="20"/>
                <w:szCs w:val="20"/>
              </w:rPr>
              <w:t xml:space="preserve">[online]. </w:t>
            </w:r>
            <w:r>
              <w:rPr>
                <w:sz w:val="20"/>
                <w:szCs w:val="20"/>
                <w:lang w:val="it-IT" w:eastAsia="ru-RU"/>
              </w:rPr>
              <w:t xml:space="preserve">Disponibil: </w:t>
            </w:r>
            <w:hyperlink r:id="rId9" w:history="1">
              <w:r>
                <w:rPr>
                  <w:rStyle w:val="Hyperlink"/>
                  <w:sz w:val="20"/>
                  <w:szCs w:val="20"/>
                  <w:lang w:val="it-IT"/>
                </w:rPr>
                <w:t>https://www.academia.edu/39019799/Keohane_robert_o_nye_joseph_s_power_and_interdependence</w:t>
              </w:r>
            </w:hyperlink>
            <w:r>
              <w:rPr>
                <w:sz w:val="20"/>
                <w:szCs w:val="20"/>
              </w:rPr>
              <w:t xml:space="preserve"> </w:t>
            </w:r>
          </w:p>
          <w:p w14:paraId="2ACC81BA" w14:textId="6F7E19ED" w:rsidR="0068682B" w:rsidRPr="00234863" w:rsidRDefault="0068682B" w:rsidP="00137B1D">
            <w:pPr>
              <w:pStyle w:val="ListParagraph"/>
              <w:widowControl/>
              <w:numPr>
                <w:ilvl w:val="0"/>
                <w:numId w:val="10"/>
              </w:numPr>
              <w:shd w:val="clear" w:color="auto" w:fill="FFFFFF"/>
              <w:adjustRightInd w:val="0"/>
              <w:ind w:left="136" w:firstLine="0"/>
              <w:contextualSpacing/>
              <w:jc w:val="both"/>
              <w:rPr>
                <w:sz w:val="20"/>
                <w:szCs w:val="20"/>
                <w:lang w:val="it-IT"/>
              </w:rPr>
            </w:pPr>
            <w:r>
              <w:rPr>
                <w:sz w:val="20"/>
                <w:szCs w:val="20"/>
              </w:rPr>
              <w:t xml:space="preserve">Mureşan, M. </w:t>
            </w:r>
            <w:r>
              <w:rPr>
                <w:i/>
                <w:iCs/>
                <w:sz w:val="20"/>
                <w:szCs w:val="20"/>
              </w:rPr>
              <w:t>Globalizare, integrare, dezvoltare - pilonii unei lumi durabile</w:t>
            </w:r>
            <w:r>
              <w:rPr>
                <w:sz w:val="20"/>
                <w:szCs w:val="20"/>
              </w:rPr>
              <w:t xml:space="preserve">. În: Impact strategic. Nr.1, 2005.  p. 7-10. </w:t>
            </w:r>
            <w:r>
              <w:rPr>
                <w:rFonts w:eastAsiaTheme="minorEastAsia"/>
                <w:sz w:val="20"/>
                <w:szCs w:val="20"/>
              </w:rPr>
              <w:t xml:space="preserve">[online]. </w:t>
            </w:r>
            <w:r>
              <w:rPr>
                <w:sz w:val="20"/>
                <w:szCs w:val="20"/>
                <w:lang w:val="it-IT"/>
              </w:rPr>
              <w:t xml:space="preserve">Disponibil: </w:t>
            </w:r>
            <w:r>
              <w:rPr>
                <w:sz w:val="20"/>
                <w:szCs w:val="20"/>
              </w:rPr>
              <w:fldChar w:fldCharType="begin"/>
            </w:r>
            <w:r>
              <w:rPr>
                <w:sz w:val="20"/>
                <w:szCs w:val="20"/>
                <w:lang w:val="it-IT"/>
              </w:rPr>
              <w:instrText>HYPERLINK "https://cssas.unap.ro/ro/pdf_publicatii/is14.pdf"</w:instrText>
            </w:r>
            <w:r>
              <w:rPr>
                <w:sz w:val="20"/>
                <w:szCs w:val="20"/>
              </w:rPr>
              <w:fldChar w:fldCharType="separate"/>
            </w:r>
            <w:r>
              <w:rPr>
                <w:rStyle w:val="Hyperlink"/>
                <w:color w:val="auto"/>
                <w:sz w:val="20"/>
                <w:szCs w:val="20"/>
              </w:rPr>
              <w:t>https://cssas.unap.ro/ro/pdf_publicatii/is14.pdf</w:t>
            </w:r>
            <w:r>
              <w:rPr>
                <w:sz w:val="20"/>
                <w:szCs w:val="20"/>
              </w:rPr>
              <w:fldChar w:fldCharType="end"/>
              <w:t xml:space="preserve"> </w:t>
            </w:r>
          </w:p>
          <w:p w14:paraId="029995D0" w14:textId="29ABF89D" w:rsidR="0068682B" w:rsidRPr="00234863" w:rsidRDefault="0068682B" w:rsidP="00137B1D">
            <w:pPr>
              <w:pStyle w:val="ListParagraph"/>
              <w:widowControl/>
              <w:numPr>
                <w:ilvl w:val="0"/>
                <w:numId w:val="10"/>
              </w:numPr>
              <w:shd w:val="clear" w:color="auto" w:fill="FFFFFF"/>
              <w:adjustRightInd w:val="0"/>
              <w:ind w:left="136" w:firstLine="0"/>
              <w:contextualSpacing/>
              <w:jc w:val="both"/>
              <w:rPr>
                <w:sz w:val="20"/>
                <w:szCs w:val="20"/>
                <w:lang w:val="en-US"/>
              </w:rPr>
            </w:pPr>
            <w:r>
              <w:rPr>
                <w:sz w:val="20"/>
                <w:szCs w:val="20"/>
                <w:lang w:val="en-US"/>
              </w:rPr>
              <w:t xml:space="preserve">Shambaugh, D. </w:t>
            </w:r>
            <w:r>
              <w:rPr>
                <w:rStyle w:val="Emphasis"/>
                <w:sz w:val="20"/>
                <w:szCs w:val="20"/>
                <w:lang w:val="en-US"/>
              </w:rPr>
              <w:t>China’s Future</w:t>
            </w:r>
            <w:r>
              <w:rPr>
                <w:sz w:val="20"/>
                <w:szCs w:val="20"/>
                <w:lang w:val="en-US"/>
              </w:rPr>
              <w:t xml:space="preserve">. Polity Press, Cambridge, UK, 2015. </w:t>
            </w:r>
            <w:r>
              <w:rPr>
                <w:sz w:val="20"/>
                <w:szCs w:val="20"/>
              </w:rPr>
              <w:t>320 p. ISBN 978-0745669243.</w:t>
            </w:r>
            <w:r>
              <w:rPr>
                <w:rFonts w:eastAsiaTheme="minorEastAsia"/>
                <w:sz w:val="20"/>
                <w:szCs w:val="20"/>
              </w:rPr>
              <w:t xml:space="preserve"> [online]. </w:t>
            </w:r>
            <w:r>
              <w:rPr>
                <w:sz w:val="20"/>
                <w:szCs w:val="20"/>
                <w:lang w:val="en-US"/>
              </w:rPr>
              <w:t xml:space="preserve">Disponibil: </w:t>
            </w:r>
            <w:hyperlink r:id="rId10" w:history="1">
              <w:r>
                <w:rPr>
                  <w:rStyle w:val="Hyperlink"/>
                  <w:sz w:val="20"/>
                  <w:szCs w:val="20"/>
                  <w:lang w:val="en-US"/>
                </w:rPr>
                <w:t>https</w:t>
              </w:r>
              <w:r>
                <w:rPr>
                  <w:rStyle w:val="Hyperlink"/>
                  <w:sz w:val="20"/>
                  <w:szCs w:val="20"/>
                </w:rPr>
                <w:t>://</w:t>
              </w:r>
              <w:r>
                <w:rPr>
                  <w:rStyle w:val="Hyperlink"/>
                  <w:sz w:val="20"/>
                  <w:szCs w:val="20"/>
                  <w:lang w:val="en-US"/>
                </w:rPr>
                <w:t>kishanrana</w:t>
              </w:r>
              <w:r>
                <w:rPr>
                  <w:rStyle w:val="Hyperlink"/>
                  <w:sz w:val="20"/>
                  <w:szCs w:val="20"/>
                </w:rPr>
                <w:t>.</w:t>
              </w:r>
              <w:r>
                <w:rPr>
                  <w:rStyle w:val="Hyperlink"/>
                  <w:sz w:val="20"/>
                  <w:szCs w:val="20"/>
                  <w:lang w:val="en-US"/>
                </w:rPr>
                <w:t>diplomacy</w:t>
              </w:r>
              <w:r>
                <w:rPr>
                  <w:rStyle w:val="Hyperlink"/>
                  <w:sz w:val="20"/>
                  <w:szCs w:val="20"/>
                </w:rPr>
                <w:t>.</w:t>
              </w:r>
              <w:r>
                <w:rPr>
                  <w:rStyle w:val="Hyperlink"/>
                  <w:sz w:val="20"/>
                  <w:szCs w:val="20"/>
                  <w:lang w:val="en-US"/>
                </w:rPr>
                <w:t>edu</w:t>
              </w:r>
              <w:r>
                <w:rPr>
                  <w:rStyle w:val="Hyperlink"/>
                  <w:sz w:val="20"/>
                  <w:szCs w:val="20"/>
                </w:rPr>
                <w:t>/</w:t>
              </w:r>
              <w:r>
                <w:rPr>
                  <w:rStyle w:val="Hyperlink"/>
                  <w:sz w:val="20"/>
                  <w:szCs w:val="20"/>
                  <w:lang w:val="en-US"/>
                </w:rPr>
                <w:t>wp</w:t>
              </w:r>
            </w:hyperlink>
            <w:r>
              <w:rPr>
                <w:sz w:val="20"/>
                <w:szCs w:val="20"/>
              </w:rPr>
              <w:t xml:space="preserve"> </w:t>
            </w:r>
          </w:p>
          <w:p w14:paraId="26305CA8" w14:textId="216D9EA0" w:rsidR="00137B1D" w:rsidRPr="00137B1D" w:rsidRDefault="0068682B" w:rsidP="00137B1D">
            <w:pPr>
              <w:pStyle w:val="ListParagraph"/>
              <w:widowControl/>
              <w:numPr>
                <w:ilvl w:val="0"/>
                <w:numId w:val="10"/>
              </w:numPr>
              <w:shd w:val="clear" w:color="auto" w:fill="FFFFFF"/>
              <w:adjustRightInd w:val="0"/>
              <w:ind w:left="136" w:firstLine="0"/>
              <w:contextualSpacing/>
              <w:jc w:val="both"/>
              <w:rPr>
                <w:sz w:val="20"/>
                <w:szCs w:val="20"/>
                <w:lang w:val="it-IT"/>
              </w:rPr>
            </w:pPr>
            <w:r>
              <w:rPr>
                <w:sz w:val="20"/>
                <w:szCs w:val="20"/>
                <w:lang w:val="en-US"/>
              </w:rPr>
              <w:t xml:space="preserve">Wallerstein, I. </w:t>
            </w:r>
            <w:r>
              <w:rPr>
                <w:rStyle w:val="Emphasis"/>
                <w:sz w:val="20"/>
                <w:szCs w:val="20"/>
                <w:lang w:val="en-US"/>
              </w:rPr>
              <w:t>The Modern World-System</w:t>
            </w:r>
            <w:r>
              <w:rPr>
                <w:sz w:val="20"/>
                <w:szCs w:val="20"/>
                <w:lang w:val="en-US"/>
              </w:rPr>
              <w:t>. New York: Academic Press, 1974. 416 p. ISBN 978-0123495507.</w:t>
            </w:r>
            <w:r>
              <w:rPr>
                <w:rFonts w:eastAsiaTheme="minorEastAsia"/>
                <w:sz w:val="20"/>
                <w:szCs w:val="20"/>
              </w:rPr>
              <w:t>[online].</w:t>
            </w:r>
            <w:r>
              <w:rPr>
                <w:sz w:val="20"/>
                <w:szCs w:val="20"/>
                <w:lang w:val="it-IT"/>
              </w:rPr>
              <w:t>Disponibil:</w:t>
            </w:r>
            <w:r>
              <w:rPr>
                <w:sz w:val="20"/>
                <w:szCs w:val="20"/>
              </w:rPr>
              <w:fldChar w:fldCharType="begin"/>
              <w:instrText>HYPERLINK "</w:instrText>
              <w:instrText>https://dl1.cuni.cz/pluginfile.php/495082/mod_resource/content/1/Wallerstein-Modern%20World-System%20I.pdf</w:instrText>
              <w:instrText>"</w:instrText>
              <w:fldChar w:fldCharType="separate"/>
            </w:r>
            <w:r>
              <w:rPr>
                <w:rStyle w:val="Hyperlink"/>
                <w:sz w:val="20"/>
                <w:szCs w:val="20"/>
              </w:rPr>
              <w:t>https://dl1.cuni.cz/pluginfile.php/495082/mod_resource/content/1/Wallerstein-Modern%20World-System%20I.pdf</w:t>
            </w:r>
            <w:r>
              <w:rPr>
                <w:sz w:val="20"/>
                <w:szCs w:val="20"/>
              </w:rPr>
              <w:fldChar w:fldCharType="end"/>
            </w:r>
          </w:p>
          <w:p w14:paraId="0F833CB3" w14:textId="23B626C8" w:rsidR="003132E4" w:rsidRPr="00137B1D" w:rsidRDefault="0068682B" w:rsidP="00137B1D">
            <w:pPr>
              <w:pStyle w:val="ListParagraph"/>
              <w:widowControl/>
              <w:numPr>
                <w:ilvl w:val="0"/>
                <w:numId w:val="10"/>
              </w:numPr>
              <w:autoSpaceDE/>
              <w:autoSpaceDN/>
              <w:ind w:left="136" w:firstLine="0"/>
              <w:contextualSpacing/>
              <w:jc w:val="both"/>
              <w:rPr>
                <w:sz w:val="20"/>
                <w:szCs w:val="20"/>
                <w:lang w:val="it-IT"/>
              </w:rPr>
            </w:pPr>
            <w:r>
              <w:rPr>
                <w:sz w:val="20"/>
                <w:szCs w:val="20"/>
              </w:rPr>
              <w:t>Чепель</w:t>
            </w:r>
            <w:r>
              <w:rPr>
                <w:sz w:val="20"/>
                <w:szCs w:val="20"/>
                <w:lang w:val="ro-MD"/>
              </w:rPr>
              <w:t>,</w:t>
            </w:r>
            <w:r>
              <w:rPr>
                <w:sz w:val="20"/>
                <w:szCs w:val="20"/>
              </w:rPr>
              <w:t xml:space="preserve"> С</w:t>
            </w:r>
            <w:r>
              <w:rPr>
                <w:sz w:val="20"/>
                <w:szCs w:val="20"/>
                <w:lang w:eastAsia="ru-RU"/>
              </w:rPr>
              <w:t xml:space="preserve">. </w:t>
            </w:r>
            <w:r>
              <w:rPr>
                <w:i/>
                <w:iCs/>
                <w:sz w:val="20"/>
                <w:szCs w:val="20"/>
                <w:lang w:eastAsia="ru-RU"/>
              </w:rPr>
              <w:t>Сценарии кризисного и посткризисного развития национальной экономики: новые риски и возникающие возможности</w:t>
            </w:r>
            <w:r>
              <w:rPr>
                <w:i/>
                <w:iCs/>
                <w:sz w:val="20"/>
                <w:szCs w:val="20"/>
                <w:lang w:val="ro-MD" w:eastAsia="ru-RU"/>
              </w:rPr>
              <w:t>,</w:t>
            </w:r>
            <w:r>
              <w:rPr>
                <w:sz w:val="20"/>
                <w:szCs w:val="20"/>
                <w:lang w:eastAsia="ru-RU"/>
              </w:rPr>
              <w:t xml:space="preserve"> 2020. </w:t>
            </w:r>
            <w:r>
              <w:rPr>
                <w:rFonts w:eastAsiaTheme="minorEastAsia"/>
                <w:sz w:val="20"/>
                <w:szCs w:val="20"/>
              </w:rPr>
              <w:t xml:space="preserve">[online]. </w:t>
            </w:r>
            <w:r>
              <w:rPr>
                <w:sz w:val="20"/>
                <w:szCs w:val="20"/>
                <w:lang w:val="it-IT" w:eastAsia="ru-RU"/>
              </w:rPr>
              <w:t xml:space="preserve">Disponibil: </w:t>
            </w:r>
            <w:hyperlink r:id="rId11" w:history="1">
              <w:r>
                <w:rPr>
                  <w:rStyle w:val="Hyperlink"/>
                  <w:sz w:val="20"/>
                  <w:szCs w:val="20"/>
                  <w:lang w:eastAsia="ru-RU"/>
                </w:rPr>
                <w:t>https://www.researchgate.net/publication/398736137_Scenarii_krizisnogo_i_postkrizisnogo_razvitia_nacionalnoj_ekonomiki_novye_riski_i_voznikausie_vozmoznosti_Crisis_and_post-crisis_scenarios_for_national_economic_development_new_risks_and_emerging_oppo/link/694152e10c98040d481e4807/download?_tp=eyJjb250ZXh0Ijp7ImZpcnN0UGFnZSI6InB1YmxpY2F0aW9uIiwicGFnZSI6InB1YmxpY2F0aW9uIn19</w:t>
              </w:r>
            </w:hyperlink>
          </w:p>
        </w:tc>
      </w:tr>
    </w:tbl>
    <w:p w14:paraId="2A687F8A" w14:textId="77777777" w:rsidR="003E001E" w:rsidRDefault="003E001E" w:rsidP="00137B1D"/>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41A8F"/>
    <w:multiLevelType w:val="hybridMultilevel"/>
    <w:tmpl w:val="22D0D638"/>
    <w:lvl w:ilvl="0" w:tplc="DB5625CC">
      <w:start w:val="1"/>
      <w:numFmt w:val="decimal"/>
      <w:lvlText w:val="%1."/>
      <w:lvlJc w:val="left"/>
      <w:pPr>
        <w:ind w:left="533" w:hanging="361"/>
      </w:pPr>
      <w:rPr>
        <w:rFonts w:hint="default"/>
        <w:spacing w:val="0"/>
        <w:w w:val="100"/>
        <w:lang w:val="ro-RO" w:eastAsia="en-US" w:bidi="ar-SA"/>
      </w:rPr>
    </w:lvl>
    <w:lvl w:ilvl="1" w:tplc="49BE574C">
      <w:numFmt w:val="bullet"/>
      <w:lvlText w:val="•"/>
      <w:lvlJc w:val="left"/>
      <w:pPr>
        <w:ind w:left="1360" w:hanging="361"/>
      </w:pPr>
      <w:rPr>
        <w:rFonts w:hint="default"/>
        <w:lang w:val="ro-RO" w:eastAsia="en-US" w:bidi="ar-SA"/>
      </w:rPr>
    </w:lvl>
    <w:lvl w:ilvl="2" w:tplc="50C052E6">
      <w:numFmt w:val="bullet"/>
      <w:lvlText w:val="•"/>
      <w:lvlJc w:val="left"/>
      <w:pPr>
        <w:ind w:left="2180" w:hanging="361"/>
      </w:pPr>
      <w:rPr>
        <w:rFonts w:hint="default"/>
        <w:lang w:val="ro-RO" w:eastAsia="en-US" w:bidi="ar-SA"/>
      </w:rPr>
    </w:lvl>
    <w:lvl w:ilvl="3" w:tplc="BE08B822">
      <w:numFmt w:val="bullet"/>
      <w:lvlText w:val="•"/>
      <w:lvlJc w:val="left"/>
      <w:pPr>
        <w:ind w:left="3000" w:hanging="361"/>
      </w:pPr>
      <w:rPr>
        <w:rFonts w:hint="default"/>
        <w:lang w:val="ro-RO" w:eastAsia="en-US" w:bidi="ar-SA"/>
      </w:rPr>
    </w:lvl>
    <w:lvl w:ilvl="4" w:tplc="95D8E8A6">
      <w:numFmt w:val="bullet"/>
      <w:lvlText w:val="•"/>
      <w:lvlJc w:val="left"/>
      <w:pPr>
        <w:ind w:left="3820" w:hanging="361"/>
      </w:pPr>
      <w:rPr>
        <w:rFonts w:hint="default"/>
        <w:lang w:val="ro-RO" w:eastAsia="en-US" w:bidi="ar-SA"/>
      </w:rPr>
    </w:lvl>
    <w:lvl w:ilvl="5" w:tplc="BC302C0A">
      <w:numFmt w:val="bullet"/>
      <w:lvlText w:val="•"/>
      <w:lvlJc w:val="left"/>
      <w:pPr>
        <w:ind w:left="4640" w:hanging="361"/>
      </w:pPr>
      <w:rPr>
        <w:rFonts w:hint="default"/>
        <w:lang w:val="ro-RO" w:eastAsia="en-US" w:bidi="ar-SA"/>
      </w:rPr>
    </w:lvl>
    <w:lvl w:ilvl="6" w:tplc="EF74EF64">
      <w:numFmt w:val="bullet"/>
      <w:lvlText w:val="•"/>
      <w:lvlJc w:val="left"/>
      <w:pPr>
        <w:ind w:left="5460" w:hanging="361"/>
      </w:pPr>
      <w:rPr>
        <w:rFonts w:hint="default"/>
        <w:lang w:val="ro-RO" w:eastAsia="en-US" w:bidi="ar-SA"/>
      </w:rPr>
    </w:lvl>
    <w:lvl w:ilvl="7" w:tplc="5DD04A6E">
      <w:numFmt w:val="bullet"/>
      <w:lvlText w:val="•"/>
      <w:lvlJc w:val="left"/>
      <w:pPr>
        <w:ind w:left="6280" w:hanging="361"/>
      </w:pPr>
      <w:rPr>
        <w:rFonts w:hint="default"/>
        <w:lang w:val="ro-RO" w:eastAsia="en-US" w:bidi="ar-SA"/>
      </w:rPr>
    </w:lvl>
    <w:lvl w:ilvl="8" w:tplc="F126F152">
      <w:numFmt w:val="bullet"/>
      <w:lvlText w:val="•"/>
      <w:lvlJc w:val="left"/>
      <w:pPr>
        <w:ind w:left="7100" w:hanging="361"/>
      </w:pPr>
      <w:rPr>
        <w:rFonts w:hint="default"/>
        <w:lang w:val="ro-RO" w:eastAsia="en-US" w:bidi="ar-SA"/>
      </w:rPr>
    </w:lvl>
  </w:abstractNum>
  <w:abstractNum w:abstractNumId="1" w15:restartNumberingAfterBreak="0">
    <w:nsid w:val="24767125"/>
    <w:multiLevelType w:val="hybridMultilevel"/>
    <w:tmpl w:val="F6665CB6"/>
    <w:lvl w:ilvl="0" w:tplc="06BA84FA">
      <w:start w:val="1"/>
      <w:numFmt w:val="decimal"/>
      <w:lvlText w:val="%1."/>
      <w:lvlJc w:val="left"/>
      <w:pPr>
        <w:ind w:left="474" w:hanging="356"/>
      </w:pPr>
      <w:rPr>
        <w:rFonts w:ascii="Times New Roman" w:eastAsia="Times New Roman" w:hAnsi="Times New Roman" w:cs="Times New Roman" w:hint="default"/>
        <w:b w:val="0"/>
        <w:bCs w:val="0"/>
        <w:i w:val="0"/>
        <w:iCs w:val="0"/>
        <w:spacing w:val="0"/>
        <w:w w:val="100"/>
        <w:sz w:val="22"/>
        <w:szCs w:val="22"/>
        <w:lang w:val="ro-RO" w:eastAsia="en-US" w:bidi="ar-SA"/>
      </w:rPr>
    </w:lvl>
    <w:lvl w:ilvl="1" w:tplc="E494C764">
      <w:numFmt w:val="bullet"/>
      <w:lvlText w:val="•"/>
      <w:lvlJc w:val="left"/>
      <w:pPr>
        <w:ind w:left="1283" w:hanging="356"/>
      </w:pPr>
      <w:rPr>
        <w:rFonts w:hint="default"/>
        <w:lang w:val="ro-RO" w:eastAsia="en-US" w:bidi="ar-SA"/>
      </w:rPr>
    </w:lvl>
    <w:lvl w:ilvl="2" w:tplc="04D0F6D4">
      <w:numFmt w:val="bullet"/>
      <w:lvlText w:val="•"/>
      <w:lvlJc w:val="left"/>
      <w:pPr>
        <w:ind w:left="2087" w:hanging="356"/>
      </w:pPr>
      <w:rPr>
        <w:rFonts w:hint="default"/>
        <w:lang w:val="ro-RO" w:eastAsia="en-US" w:bidi="ar-SA"/>
      </w:rPr>
    </w:lvl>
    <w:lvl w:ilvl="3" w:tplc="C03672DE">
      <w:numFmt w:val="bullet"/>
      <w:lvlText w:val="•"/>
      <w:lvlJc w:val="left"/>
      <w:pPr>
        <w:ind w:left="2891" w:hanging="356"/>
      </w:pPr>
      <w:rPr>
        <w:rFonts w:hint="default"/>
        <w:lang w:val="ro-RO" w:eastAsia="en-US" w:bidi="ar-SA"/>
      </w:rPr>
    </w:lvl>
    <w:lvl w:ilvl="4" w:tplc="40485A86">
      <w:numFmt w:val="bullet"/>
      <w:lvlText w:val="•"/>
      <w:lvlJc w:val="left"/>
      <w:pPr>
        <w:ind w:left="3695" w:hanging="356"/>
      </w:pPr>
      <w:rPr>
        <w:rFonts w:hint="default"/>
        <w:lang w:val="ro-RO" w:eastAsia="en-US" w:bidi="ar-SA"/>
      </w:rPr>
    </w:lvl>
    <w:lvl w:ilvl="5" w:tplc="53EAAFD0">
      <w:numFmt w:val="bullet"/>
      <w:lvlText w:val="•"/>
      <w:lvlJc w:val="left"/>
      <w:pPr>
        <w:ind w:left="4499" w:hanging="356"/>
      </w:pPr>
      <w:rPr>
        <w:rFonts w:hint="default"/>
        <w:lang w:val="ro-RO" w:eastAsia="en-US" w:bidi="ar-SA"/>
      </w:rPr>
    </w:lvl>
    <w:lvl w:ilvl="6" w:tplc="2CFACD64">
      <w:numFmt w:val="bullet"/>
      <w:lvlText w:val="•"/>
      <w:lvlJc w:val="left"/>
      <w:pPr>
        <w:ind w:left="5303" w:hanging="356"/>
      </w:pPr>
      <w:rPr>
        <w:rFonts w:hint="default"/>
        <w:lang w:val="ro-RO" w:eastAsia="en-US" w:bidi="ar-SA"/>
      </w:rPr>
    </w:lvl>
    <w:lvl w:ilvl="7" w:tplc="06F89670">
      <w:numFmt w:val="bullet"/>
      <w:lvlText w:val="•"/>
      <w:lvlJc w:val="left"/>
      <w:pPr>
        <w:ind w:left="6107" w:hanging="356"/>
      </w:pPr>
      <w:rPr>
        <w:rFonts w:hint="default"/>
        <w:lang w:val="ro-RO" w:eastAsia="en-US" w:bidi="ar-SA"/>
      </w:rPr>
    </w:lvl>
    <w:lvl w:ilvl="8" w:tplc="CE82DBAA">
      <w:numFmt w:val="bullet"/>
      <w:lvlText w:val="•"/>
      <w:lvlJc w:val="left"/>
      <w:pPr>
        <w:ind w:left="6911" w:hanging="356"/>
      </w:pPr>
      <w:rPr>
        <w:rFonts w:hint="default"/>
        <w:lang w:val="ro-RO" w:eastAsia="en-US" w:bidi="ar-SA"/>
      </w:rPr>
    </w:lvl>
  </w:abstractNum>
  <w:abstractNum w:abstractNumId="2" w15:restartNumberingAfterBreak="0">
    <w:nsid w:val="271344E5"/>
    <w:multiLevelType w:val="hybridMultilevel"/>
    <w:tmpl w:val="B2AE4F7A"/>
    <w:lvl w:ilvl="0" w:tplc="814816C4">
      <w:start w:val="1"/>
      <w:numFmt w:val="decimal"/>
      <w:lvlText w:val="%1."/>
      <w:lvlJc w:val="left"/>
      <w:pPr>
        <w:ind w:left="441" w:hanging="361"/>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3" w15:restartNumberingAfterBreak="0">
    <w:nsid w:val="2B7D20AB"/>
    <w:multiLevelType w:val="hybridMultilevel"/>
    <w:tmpl w:val="E03E4ECA"/>
    <w:lvl w:ilvl="0" w:tplc="312017BC">
      <w:start w:val="1"/>
      <w:numFmt w:val="decimal"/>
      <w:lvlText w:val="%1."/>
      <w:lvlJc w:val="left"/>
      <w:pPr>
        <w:ind w:left="475" w:hanging="356"/>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4" w15:restartNumberingAfterBreak="0">
    <w:nsid w:val="38E329CE"/>
    <w:multiLevelType w:val="hybridMultilevel"/>
    <w:tmpl w:val="18166976"/>
    <w:lvl w:ilvl="0" w:tplc="63729A00">
      <w:start w:val="1"/>
      <w:numFmt w:val="decimal"/>
      <w:lvlText w:val="%1."/>
      <w:lvlJc w:val="left"/>
      <w:pPr>
        <w:ind w:left="365" w:hanging="284"/>
      </w:pPr>
      <w:rPr>
        <w:rFonts w:ascii="Times New Roman" w:eastAsia="Times New Roman" w:hAnsi="Times New Roman" w:cs="Times New Roman" w:hint="default"/>
        <w:b w:val="0"/>
        <w:bCs w:val="0"/>
        <w:i w:val="0"/>
        <w:iCs w:val="0"/>
        <w:spacing w:val="0"/>
        <w:w w:val="100"/>
        <w:sz w:val="22"/>
        <w:szCs w:val="22"/>
        <w:lang w:val="ro-RO" w:eastAsia="en-US" w:bidi="ar-SA"/>
      </w:rPr>
    </w:lvl>
    <w:lvl w:ilvl="1" w:tplc="5D749840">
      <w:numFmt w:val="bullet"/>
      <w:lvlText w:val="•"/>
      <w:lvlJc w:val="left"/>
      <w:pPr>
        <w:ind w:left="1198" w:hanging="284"/>
      </w:pPr>
      <w:rPr>
        <w:rFonts w:hint="default"/>
        <w:lang w:val="ro-RO" w:eastAsia="en-US" w:bidi="ar-SA"/>
      </w:rPr>
    </w:lvl>
    <w:lvl w:ilvl="2" w:tplc="5FC0AC96">
      <w:numFmt w:val="bullet"/>
      <w:lvlText w:val="•"/>
      <w:lvlJc w:val="left"/>
      <w:pPr>
        <w:ind w:left="2036" w:hanging="284"/>
      </w:pPr>
      <w:rPr>
        <w:rFonts w:hint="default"/>
        <w:lang w:val="ro-RO" w:eastAsia="en-US" w:bidi="ar-SA"/>
      </w:rPr>
    </w:lvl>
    <w:lvl w:ilvl="3" w:tplc="9D241F44">
      <w:numFmt w:val="bullet"/>
      <w:lvlText w:val="•"/>
      <w:lvlJc w:val="left"/>
      <w:pPr>
        <w:ind w:left="2874" w:hanging="284"/>
      </w:pPr>
      <w:rPr>
        <w:rFonts w:hint="default"/>
        <w:lang w:val="ro-RO" w:eastAsia="en-US" w:bidi="ar-SA"/>
      </w:rPr>
    </w:lvl>
    <w:lvl w:ilvl="4" w:tplc="BF50FBA2">
      <w:numFmt w:val="bullet"/>
      <w:lvlText w:val="•"/>
      <w:lvlJc w:val="left"/>
      <w:pPr>
        <w:ind w:left="3712" w:hanging="284"/>
      </w:pPr>
      <w:rPr>
        <w:rFonts w:hint="default"/>
        <w:lang w:val="ro-RO" w:eastAsia="en-US" w:bidi="ar-SA"/>
      </w:rPr>
    </w:lvl>
    <w:lvl w:ilvl="5" w:tplc="221AAD62">
      <w:numFmt w:val="bullet"/>
      <w:lvlText w:val="•"/>
      <w:lvlJc w:val="left"/>
      <w:pPr>
        <w:ind w:left="4550" w:hanging="284"/>
      </w:pPr>
      <w:rPr>
        <w:rFonts w:hint="default"/>
        <w:lang w:val="ro-RO" w:eastAsia="en-US" w:bidi="ar-SA"/>
      </w:rPr>
    </w:lvl>
    <w:lvl w:ilvl="6" w:tplc="F89631DC">
      <w:numFmt w:val="bullet"/>
      <w:lvlText w:val="•"/>
      <w:lvlJc w:val="left"/>
      <w:pPr>
        <w:ind w:left="5388" w:hanging="284"/>
      </w:pPr>
      <w:rPr>
        <w:rFonts w:hint="default"/>
        <w:lang w:val="ro-RO" w:eastAsia="en-US" w:bidi="ar-SA"/>
      </w:rPr>
    </w:lvl>
    <w:lvl w:ilvl="7" w:tplc="324C01C2">
      <w:numFmt w:val="bullet"/>
      <w:lvlText w:val="•"/>
      <w:lvlJc w:val="left"/>
      <w:pPr>
        <w:ind w:left="6226" w:hanging="284"/>
      </w:pPr>
      <w:rPr>
        <w:rFonts w:hint="default"/>
        <w:lang w:val="ro-RO" w:eastAsia="en-US" w:bidi="ar-SA"/>
      </w:rPr>
    </w:lvl>
    <w:lvl w:ilvl="8" w:tplc="E2F67A5A">
      <w:numFmt w:val="bullet"/>
      <w:lvlText w:val="•"/>
      <w:lvlJc w:val="left"/>
      <w:pPr>
        <w:ind w:left="7064" w:hanging="284"/>
      </w:pPr>
      <w:rPr>
        <w:rFonts w:hint="default"/>
        <w:lang w:val="ro-RO" w:eastAsia="en-US" w:bidi="ar-SA"/>
      </w:rPr>
    </w:lvl>
  </w:abstractNum>
  <w:abstractNum w:abstractNumId="5" w15:restartNumberingAfterBreak="0">
    <w:nsid w:val="46445CFE"/>
    <w:multiLevelType w:val="hybridMultilevel"/>
    <w:tmpl w:val="599C2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8C213F"/>
    <w:multiLevelType w:val="hybridMultilevel"/>
    <w:tmpl w:val="44DE845A"/>
    <w:lvl w:ilvl="0" w:tplc="FC62EB0C">
      <w:start w:val="1"/>
      <w:numFmt w:val="decimal"/>
      <w:lvlText w:val="%1."/>
      <w:lvlJc w:val="left"/>
      <w:pPr>
        <w:ind w:left="474" w:hanging="356"/>
      </w:pPr>
      <w:rPr>
        <w:rFonts w:ascii="Times New Roman" w:eastAsia="Times New Roman" w:hAnsi="Times New Roman" w:cs="Times New Roman" w:hint="default"/>
        <w:b w:val="0"/>
        <w:bCs w:val="0"/>
        <w:i w:val="0"/>
        <w:iCs w:val="0"/>
        <w:spacing w:val="0"/>
        <w:w w:val="100"/>
        <w:sz w:val="22"/>
        <w:szCs w:val="22"/>
        <w:lang w:val="ro-RO" w:eastAsia="en-US" w:bidi="ar-SA"/>
      </w:rPr>
    </w:lvl>
    <w:lvl w:ilvl="1" w:tplc="C95C76EE">
      <w:numFmt w:val="bullet"/>
      <w:lvlText w:val="•"/>
      <w:lvlJc w:val="left"/>
      <w:pPr>
        <w:ind w:left="1283" w:hanging="356"/>
      </w:pPr>
      <w:rPr>
        <w:rFonts w:hint="default"/>
        <w:lang w:val="ro-RO" w:eastAsia="en-US" w:bidi="ar-SA"/>
      </w:rPr>
    </w:lvl>
    <w:lvl w:ilvl="2" w:tplc="E70C4B90">
      <w:numFmt w:val="bullet"/>
      <w:lvlText w:val="•"/>
      <w:lvlJc w:val="left"/>
      <w:pPr>
        <w:ind w:left="2087" w:hanging="356"/>
      </w:pPr>
      <w:rPr>
        <w:rFonts w:hint="default"/>
        <w:lang w:val="ro-RO" w:eastAsia="en-US" w:bidi="ar-SA"/>
      </w:rPr>
    </w:lvl>
    <w:lvl w:ilvl="3" w:tplc="572482F8">
      <w:numFmt w:val="bullet"/>
      <w:lvlText w:val="•"/>
      <w:lvlJc w:val="left"/>
      <w:pPr>
        <w:ind w:left="2891" w:hanging="356"/>
      </w:pPr>
      <w:rPr>
        <w:rFonts w:hint="default"/>
        <w:lang w:val="ro-RO" w:eastAsia="en-US" w:bidi="ar-SA"/>
      </w:rPr>
    </w:lvl>
    <w:lvl w:ilvl="4" w:tplc="F6DC0668">
      <w:numFmt w:val="bullet"/>
      <w:lvlText w:val="•"/>
      <w:lvlJc w:val="left"/>
      <w:pPr>
        <w:ind w:left="3695" w:hanging="356"/>
      </w:pPr>
      <w:rPr>
        <w:rFonts w:hint="default"/>
        <w:lang w:val="ro-RO" w:eastAsia="en-US" w:bidi="ar-SA"/>
      </w:rPr>
    </w:lvl>
    <w:lvl w:ilvl="5" w:tplc="39806D3A">
      <w:numFmt w:val="bullet"/>
      <w:lvlText w:val="•"/>
      <w:lvlJc w:val="left"/>
      <w:pPr>
        <w:ind w:left="4499" w:hanging="356"/>
      </w:pPr>
      <w:rPr>
        <w:rFonts w:hint="default"/>
        <w:lang w:val="ro-RO" w:eastAsia="en-US" w:bidi="ar-SA"/>
      </w:rPr>
    </w:lvl>
    <w:lvl w:ilvl="6" w:tplc="B602DF2C">
      <w:numFmt w:val="bullet"/>
      <w:lvlText w:val="•"/>
      <w:lvlJc w:val="left"/>
      <w:pPr>
        <w:ind w:left="5303" w:hanging="356"/>
      </w:pPr>
      <w:rPr>
        <w:rFonts w:hint="default"/>
        <w:lang w:val="ro-RO" w:eastAsia="en-US" w:bidi="ar-SA"/>
      </w:rPr>
    </w:lvl>
    <w:lvl w:ilvl="7" w:tplc="4448F3D6">
      <w:numFmt w:val="bullet"/>
      <w:lvlText w:val="•"/>
      <w:lvlJc w:val="left"/>
      <w:pPr>
        <w:ind w:left="6107" w:hanging="356"/>
      </w:pPr>
      <w:rPr>
        <w:rFonts w:hint="default"/>
        <w:lang w:val="ro-RO" w:eastAsia="en-US" w:bidi="ar-SA"/>
      </w:rPr>
    </w:lvl>
    <w:lvl w:ilvl="8" w:tplc="EF3EB6EC">
      <w:numFmt w:val="bullet"/>
      <w:lvlText w:val="•"/>
      <w:lvlJc w:val="left"/>
      <w:pPr>
        <w:ind w:left="6911" w:hanging="356"/>
      </w:pPr>
      <w:rPr>
        <w:rFonts w:hint="default"/>
        <w:lang w:val="ro-RO" w:eastAsia="en-US" w:bidi="ar-SA"/>
      </w:rPr>
    </w:lvl>
  </w:abstractNum>
  <w:abstractNum w:abstractNumId="7" w15:restartNumberingAfterBreak="0">
    <w:nsid w:val="4F8733A3"/>
    <w:multiLevelType w:val="hybridMultilevel"/>
    <w:tmpl w:val="866A2382"/>
    <w:lvl w:ilvl="0" w:tplc="82487164">
      <w:start w:val="1"/>
      <w:numFmt w:val="decimal"/>
      <w:lvlText w:val="%1."/>
      <w:lvlJc w:val="left"/>
      <w:pPr>
        <w:ind w:left="724" w:hanging="360"/>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8" w15:restartNumberingAfterBreak="0">
    <w:nsid w:val="590B4B7D"/>
    <w:multiLevelType w:val="hybridMultilevel"/>
    <w:tmpl w:val="9996B17C"/>
    <w:lvl w:ilvl="0" w:tplc="7522148E">
      <w:start w:val="1"/>
      <w:numFmt w:val="decimal"/>
      <w:lvlText w:val="%1."/>
      <w:lvlJc w:val="left"/>
      <w:pPr>
        <w:ind w:left="437" w:hanging="361"/>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9" w15:restartNumberingAfterBreak="0">
    <w:nsid w:val="5B66318A"/>
    <w:multiLevelType w:val="hybridMultilevel"/>
    <w:tmpl w:val="67FEE62E"/>
    <w:lvl w:ilvl="0" w:tplc="08FE3D7A">
      <w:start w:val="1"/>
      <w:numFmt w:val="decimal"/>
      <w:lvlText w:val="%1."/>
      <w:lvlJc w:val="left"/>
      <w:pPr>
        <w:ind w:left="441" w:hanging="361"/>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7"/>
  </w:num>
  <w:num w:numId="2" w16cid:durableId="935869497">
    <w:abstractNumId w:val="2"/>
  </w:num>
  <w:num w:numId="3" w16cid:durableId="1764689518">
    <w:abstractNumId w:val="9"/>
  </w:num>
  <w:num w:numId="4" w16cid:durableId="1327631837">
    <w:abstractNumId w:val="3"/>
  </w:num>
  <w:num w:numId="5" w16cid:durableId="1336881027">
    <w:abstractNumId w:val="8"/>
  </w:num>
  <w:num w:numId="6" w16cid:durableId="1021931441">
    <w:abstractNumId w:val="4"/>
  </w:num>
  <w:num w:numId="7" w16cid:durableId="1242522977">
    <w:abstractNumId w:val="0"/>
  </w:num>
  <w:num w:numId="8" w16cid:durableId="2044208489">
    <w:abstractNumId w:val="1"/>
  </w:num>
  <w:num w:numId="9" w16cid:durableId="752630891">
    <w:abstractNumId w:val="6"/>
  </w:num>
  <w:num w:numId="10" w16cid:durableId="4732587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0E33C3"/>
    <w:rsid w:val="00137B1D"/>
    <w:rsid w:val="00164AA8"/>
    <w:rsid w:val="00234863"/>
    <w:rsid w:val="00282AAB"/>
    <w:rsid w:val="003132E4"/>
    <w:rsid w:val="00350DFC"/>
    <w:rsid w:val="003B0B40"/>
    <w:rsid w:val="003E001E"/>
    <w:rsid w:val="00525A6B"/>
    <w:rsid w:val="005C633B"/>
    <w:rsid w:val="006152EB"/>
    <w:rsid w:val="0068682B"/>
    <w:rsid w:val="00710533"/>
    <w:rsid w:val="007C6821"/>
    <w:rsid w:val="00877D63"/>
    <w:rsid w:val="009D06CC"/>
    <w:rsid w:val="009F505D"/>
    <w:rsid w:val="00B132EE"/>
    <w:rsid w:val="00B77960"/>
    <w:rsid w:val="00BE636E"/>
    <w:rsid w:val="00DA6175"/>
    <w:rsid w:val="00DA7801"/>
    <w:rsid w:val="00DB1255"/>
    <w:rsid w:val="00E1015A"/>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3FA36"/>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pPr>
      <w:ind w:left="724"/>
    </w:pPr>
  </w:style>
  <w:style w:type="character" w:styleId="Hyperlink">
    <w:name w:val="Hyperlink"/>
    <w:basedOn w:val="DefaultParagraphFont"/>
    <w:uiPriority w:val="99"/>
    <w:unhideWhenUsed/>
    <w:rsid w:val="0068682B"/>
    <w:rPr>
      <w:color w:val="0000FF" w:themeColor="hyperlink"/>
      <w:u w:val="single"/>
    </w:rPr>
  </w:style>
  <w:style w:type="character" w:styleId="Emphasis">
    <w:name w:val="Emphasis"/>
    <w:basedOn w:val="DefaultParagraphFont"/>
    <w:uiPriority w:val="20"/>
    <w:qFormat/>
    <w:rsid w:val="0068682B"/>
    <w:rPr>
      <w:i/>
      <w:iCs/>
    </w:rPr>
  </w:style>
  <w:style w:type="character" w:customStyle="1" w:styleId="ListParagraphChar">
    <w:name w:val="List Paragraph Char"/>
    <w:link w:val="ListParagraph"/>
    <w:uiPriority w:val="34"/>
    <w:locked/>
    <w:rsid w:val="0068682B"/>
    <w:rPr>
      <w:rFonts w:ascii="Times New Roman" w:eastAsia="Times New Roman" w:hAnsi="Times New Roman" w:cs="Times New Roman"/>
      <w:lang w:val="ro-RO"/>
    </w:rPr>
  </w:style>
  <w:style w:type="character" w:styleId="UnresolvedMention">
    <w:name w:val="Unresolved Mention"/>
    <w:basedOn w:val="DefaultParagraphFont"/>
    <w:uiPriority w:val="99"/>
    <w:semiHidden/>
    <w:unhideWhenUsed/>
    <w:rsid w:val="00234863"/>
    <w:rPr>
      <w:color w:val="605E5C"/>
      <w:shd w:val="clear" w:color="auto" w:fill="E1DFDD"/>
    </w:rPr>
  </w:style>
  <w:style w:type="character" w:styleId="FollowedHyperlink">
    <w:name w:val="FollowedHyperlink"/>
    <w:basedOn w:val="DefaultParagraphFont"/>
    <w:uiPriority w:val="99"/>
    <w:semiHidden/>
    <w:unhideWhenUsed/>
    <w:rsid w:val="002348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hyperlink" Target="https://ibn.idsi.md/sites/default/files/imag_file/Culegere_de_articole_Conf.ICI_2025_%C8%98tiin%C8%9Be-sociale_compressed-186-191.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nferinte.stiu.md/sites/default/files/evenimente/CZU-Volumul%20Strengthening%20Security%20_RABOCII%20%282%29.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ciclopedia.asm.md/wp-content/uploads/Revista_Enciclopedica_01_02_2014.pdf" TargetMode="External"/><Relationship Id="rId11" Type="http://schemas.openxmlformats.org/officeDocument/2006/relationships/hyperlink" Target="https://www.researchgate.net/publication/398736137_Scenarii_krizisnogo_i_postkrizisnogo_razvitia_nacionalnoj_ekonomiki_novye_riski_i_voznikausie_vozmoznosti_Crisis_and_post-crisis_scenarios_for_national_economic_development_new_risks_and_emerging_oppo/link/694152e10c98040d481e4807/download?_tp=eyJjb250ZXh0Ijp7ImZpcnN0UGFnZSI6InB1YmxpY2F0aW9uIiwicGFnZSI6InB1YmxpY2F0aW9uIn19" TargetMode="External"/><Relationship Id="rId5" Type="http://schemas.openxmlformats.org/officeDocument/2006/relationships/hyperlink" Target="https://enciclopedia.asm.md/wp-content/uploads/Revista_Enciclopedica_01_02_2014.pdf" TargetMode="External"/><Relationship Id="rId10" Type="http://schemas.openxmlformats.org/officeDocument/2006/relationships/hyperlink" Target="https://kishanrana.diplomacy.edu/wp" TargetMode="External"/><Relationship Id="rId4" Type="http://schemas.openxmlformats.org/officeDocument/2006/relationships/webSettings" Target="webSettings.xml"/><Relationship Id="rId9" Type="http://schemas.openxmlformats.org/officeDocument/2006/relationships/hyperlink" Target="https://www.academia.edu/39019799/Keohane_robert_o_nye_joseph_s_power_and_interdepen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896</Words>
  <Characters>5111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4</cp:revision>
  <dcterms:created xsi:type="dcterms:W3CDTF">2026-04-09T16:19:00Z</dcterms:created>
  <dcterms:modified xsi:type="dcterms:W3CDTF">2026-04-10T12:04:00Z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