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Aprobat:Consiliul</w:t>
      </w:r>
      <w:r>
        <w:rPr>
          <w:spacing w:val="-10"/>
        </w:rPr>
        <w:t> </w:t>
      </w:r>
      <w:r>
        <w:rPr/>
        <w:t>Științific</w:t>
      </w:r>
      <w:r>
        <w:rPr>
          <w:spacing w:val="-13"/>
        </w:rPr>
        <w:t> </w:t>
      </w:r>
      <w:r>
        <w:rPr/>
        <w:t>al USM</w:t>
      </w:r>
      <w:r>
        <w:rPr>
          <w:spacing w:val="-5"/>
        </w:rPr>
        <w:t> </w:t>
      </w:r>
      <w:r>
        <w:rPr/>
        <w:t>Proces</w:t>
      </w:r>
      <w:r>
        <w:rPr>
          <w:spacing w:val="-6"/>
        </w:rPr>
        <w:t> </w:t>
      </w:r>
      <w:r>
        <w:rPr/>
        <w:t>verbal</w:t>
      </w:r>
      <w:r>
        <w:rPr>
          <w:spacing w:val="-5"/>
        </w:rPr>
        <w:t> </w:t>
      </w:r>
      <w:r>
        <w:rPr/>
        <w:t>nr.</w:t>
      </w:r>
      <w:r>
        <w:rPr>
          <w:spacing w:val="1"/>
        </w:rPr>
        <w:t> </w:t>
      </w:r>
      <w:r>
        <w:rPr/>
        <w:t>1,</w:t>
      </w:r>
      <w:r>
        <w:rPr>
          <w:spacing w:val="-1"/>
        </w:rPr>
        <w:t> </w:t>
      </w:r>
      <w:r>
        <w:rPr/>
        <w:t>din</w:t>
      </w:r>
      <w:r>
        <w:rPr>
          <w:spacing w:val="-8"/>
        </w:rPr>
        <w:t> </w:t>
      </w:r>
      <w:r>
        <w:rPr>
          <w:spacing w:val="-2"/>
        </w:rPr>
        <w:t>30.11.22</w:t>
      </w: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783"/>
        <w:gridCol w:w="754"/>
        <w:gridCol w:w="2036"/>
        <w:gridCol w:w="2430"/>
        <w:gridCol w:w="1355"/>
        <w:gridCol w:w="2161"/>
      </w:tblGrid>
      <w:tr>
        <w:trPr>
          <w:trHeight w:val="503" w:hRule="atLeast"/>
        </w:trPr>
        <w:tc>
          <w:tcPr>
            <w:tcW w:w="2622" w:type="dxa"/>
            <w:gridSpan w:val="3"/>
          </w:tcPr>
          <w:p>
            <w:pPr>
              <w:pStyle w:val="TableParagraph"/>
              <w:spacing w:line="230" w:lineRule="exact"/>
              <w:ind w:left="110"/>
              <w:rPr>
                <w:sz w:val="22"/>
              </w:rPr>
            </w:pPr>
            <w:r>
              <w:rPr>
                <w:sz w:val="22"/>
              </w:rPr>
              <w:t>Denumirea</w:t>
            </w:r>
            <w:r>
              <w:rPr>
                <w:spacing w:val="-12"/>
                <w:sz w:val="22"/>
              </w:rPr>
              <w:t> </w:t>
            </w:r>
            <w:r>
              <w:rPr>
                <w:spacing w:val="-2"/>
                <w:sz w:val="22"/>
              </w:rPr>
              <w:t>disciplinei</w:t>
            </w:r>
          </w:p>
        </w:tc>
        <w:tc>
          <w:tcPr>
            <w:tcW w:w="7982" w:type="dxa"/>
            <w:gridSpan w:val="4"/>
          </w:tcPr>
          <w:p>
            <w:pPr>
              <w:pStyle w:val="TableParagraph"/>
              <w:spacing w:line="244" w:lineRule="exact"/>
              <w:rPr>
                <w:b/>
                <w:sz w:val="22"/>
              </w:rPr>
            </w:pPr>
            <w:r>
              <w:rPr>
                <w:sz w:val="22"/>
              </w:rPr>
              <w:t>S.02.O.5</w:t>
            </w:r>
            <w:r>
              <w:rPr>
                <w:spacing w:val="-9"/>
                <w:sz w:val="22"/>
              </w:rPr>
              <w:t> </w:t>
            </w:r>
            <w:r>
              <w:rPr>
                <w:b/>
                <w:sz w:val="22"/>
              </w:rPr>
              <w:t>Fenomene</w:t>
            </w:r>
            <w:r>
              <w:rPr>
                <w:b/>
                <w:spacing w:val="-5"/>
                <w:sz w:val="22"/>
              </w:rPr>
              <w:t> </w:t>
            </w:r>
            <w:r>
              <w:rPr>
                <w:b/>
                <w:sz w:val="22"/>
              </w:rPr>
              <w:t>și</w:t>
            </w:r>
            <w:r>
              <w:rPr>
                <w:b/>
                <w:spacing w:val="-5"/>
                <w:sz w:val="22"/>
              </w:rPr>
              <w:t> </w:t>
            </w:r>
            <w:r>
              <w:rPr>
                <w:b/>
                <w:sz w:val="22"/>
              </w:rPr>
              <w:t>tendințe</w:t>
            </w:r>
            <w:r>
              <w:rPr>
                <w:b/>
                <w:spacing w:val="-5"/>
                <w:sz w:val="22"/>
              </w:rPr>
              <w:t> </w:t>
            </w:r>
            <w:r>
              <w:rPr>
                <w:b/>
                <w:sz w:val="22"/>
              </w:rPr>
              <w:t>contemporane</w:t>
            </w:r>
            <w:r>
              <w:rPr>
                <w:b/>
                <w:spacing w:val="-5"/>
                <w:sz w:val="22"/>
              </w:rPr>
              <w:t> </w:t>
            </w:r>
            <w:r>
              <w:rPr>
                <w:b/>
                <w:sz w:val="22"/>
              </w:rPr>
              <w:t>în</w:t>
            </w:r>
            <w:r>
              <w:rPr>
                <w:b/>
                <w:spacing w:val="-5"/>
                <w:sz w:val="22"/>
              </w:rPr>
              <w:t> </w:t>
            </w:r>
            <w:r>
              <w:rPr>
                <w:b/>
                <w:sz w:val="22"/>
              </w:rPr>
              <w:t>dezvoltărea</w:t>
            </w:r>
            <w:r>
              <w:rPr>
                <w:b/>
                <w:spacing w:val="-8"/>
                <w:sz w:val="22"/>
              </w:rPr>
              <w:t> </w:t>
            </w:r>
            <w:r>
              <w:rPr>
                <w:b/>
                <w:sz w:val="22"/>
              </w:rPr>
              <w:t>globală</w:t>
            </w:r>
            <w:r>
              <w:rPr>
                <w:b/>
                <w:spacing w:val="-7"/>
                <w:sz w:val="22"/>
              </w:rPr>
              <w:t> </w:t>
            </w:r>
            <w:r>
              <w:rPr>
                <w:b/>
                <w:sz w:val="22"/>
              </w:rPr>
              <w:t>și</w:t>
            </w:r>
            <w:r>
              <w:rPr>
                <w:b/>
                <w:spacing w:val="-5"/>
                <w:sz w:val="22"/>
              </w:rPr>
              <w:t> </w:t>
            </w:r>
            <w:r>
              <w:rPr>
                <w:b/>
                <w:spacing w:val="-2"/>
                <w:sz w:val="22"/>
              </w:rPr>
              <w:t>regională</w:t>
            </w:r>
          </w:p>
        </w:tc>
      </w:tr>
      <w:tr>
        <w:trPr>
          <w:trHeight w:val="508" w:hRule="atLeast"/>
        </w:trPr>
        <w:tc>
          <w:tcPr>
            <w:tcW w:w="2622" w:type="dxa"/>
            <w:gridSpan w:val="3"/>
          </w:tcPr>
          <w:p>
            <w:pPr>
              <w:pStyle w:val="TableParagraph"/>
              <w:spacing w:line="230" w:lineRule="exact"/>
              <w:ind w:left="110"/>
              <w:rPr>
                <w:sz w:val="22"/>
              </w:rPr>
            </w:pPr>
            <w:r>
              <w:rPr>
                <w:sz w:val="22"/>
              </w:rPr>
              <w:t>Conducători</w:t>
            </w:r>
            <w:r>
              <w:rPr>
                <w:spacing w:val="-6"/>
                <w:sz w:val="22"/>
              </w:rPr>
              <w:t> </w:t>
            </w:r>
            <w:r>
              <w:rPr>
                <w:sz w:val="22"/>
              </w:rPr>
              <w:t>de</w:t>
            </w:r>
            <w:r>
              <w:rPr>
                <w:spacing w:val="-3"/>
                <w:sz w:val="22"/>
              </w:rPr>
              <w:t> </w:t>
            </w:r>
            <w:r>
              <w:rPr>
                <w:spacing w:val="-2"/>
                <w:sz w:val="22"/>
              </w:rPr>
              <w:t>doctorat</w:t>
            </w:r>
          </w:p>
        </w:tc>
        <w:tc>
          <w:tcPr>
            <w:tcW w:w="7982" w:type="dxa"/>
            <w:gridSpan w:val="4"/>
          </w:tcPr>
          <w:p>
            <w:pPr>
              <w:pStyle w:val="TableParagraph"/>
              <w:spacing w:line="249" w:lineRule="exact"/>
              <w:ind w:left="109"/>
              <w:rPr>
                <w:sz w:val="22"/>
              </w:rPr>
            </w:pPr>
            <w:r>
              <w:rPr>
                <w:sz w:val="22"/>
              </w:rPr>
              <w:t>Teosa</w:t>
            </w:r>
            <w:r>
              <w:rPr>
                <w:spacing w:val="-4"/>
                <w:sz w:val="22"/>
              </w:rPr>
              <w:t> </w:t>
            </w:r>
            <w:r>
              <w:rPr>
                <w:sz w:val="22"/>
              </w:rPr>
              <w:t>Valentina,</w:t>
            </w:r>
            <w:r>
              <w:rPr>
                <w:spacing w:val="-4"/>
                <w:sz w:val="22"/>
              </w:rPr>
              <w:t> </w:t>
            </w:r>
            <w:r>
              <w:rPr>
                <w:sz w:val="22"/>
              </w:rPr>
              <w:t>doctor</w:t>
            </w:r>
            <w:r>
              <w:rPr>
                <w:spacing w:val="-3"/>
                <w:sz w:val="22"/>
              </w:rPr>
              <w:t> </w:t>
            </w:r>
            <w:r>
              <w:rPr>
                <w:sz w:val="22"/>
              </w:rPr>
              <w:t>habilitat</w:t>
            </w:r>
            <w:r>
              <w:rPr>
                <w:spacing w:val="-5"/>
                <w:sz w:val="22"/>
              </w:rPr>
              <w:t> </w:t>
            </w:r>
            <w:r>
              <w:rPr>
                <w:sz w:val="22"/>
              </w:rPr>
              <w:t>in</w:t>
            </w:r>
            <w:r>
              <w:rPr>
                <w:spacing w:val="-10"/>
                <w:sz w:val="22"/>
              </w:rPr>
              <w:t> </w:t>
            </w:r>
            <w:r>
              <w:rPr>
                <w:sz w:val="22"/>
              </w:rPr>
              <w:t>științe</w:t>
            </w:r>
            <w:r>
              <w:rPr>
                <w:spacing w:val="-12"/>
                <w:sz w:val="22"/>
              </w:rPr>
              <w:t> </w:t>
            </w:r>
            <w:r>
              <w:rPr>
                <w:sz w:val="22"/>
              </w:rPr>
              <w:t>politice,</w:t>
            </w:r>
            <w:r>
              <w:rPr>
                <w:spacing w:val="1"/>
                <w:sz w:val="22"/>
              </w:rPr>
              <w:t> </w:t>
            </w:r>
            <w:r>
              <w:rPr>
                <w:sz w:val="22"/>
              </w:rPr>
              <w:t>profesor</w:t>
            </w:r>
            <w:r>
              <w:rPr>
                <w:spacing w:val="-2"/>
                <w:sz w:val="22"/>
              </w:rPr>
              <w:t> </w:t>
            </w:r>
            <w:r>
              <w:rPr>
                <w:sz w:val="22"/>
              </w:rPr>
              <w:t>universitar</w:t>
            </w:r>
            <w:r>
              <w:rPr>
                <w:spacing w:val="-3"/>
                <w:sz w:val="22"/>
              </w:rPr>
              <w:t> </w:t>
            </w:r>
            <w:r>
              <w:rPr>
                <w:sz w:val="22"/>
              </w:rPr>
              <w:t>în</w:t>
            </w:r>
            <w:r>
              <w:rPr>
                <w:spacing w:val="-10"/>
                <w:sz w:val="22"/>
              </w:rPr>
              <w:t> </w:t>
            </w:r>
            <w:r>
              <w:rPr>
                <w:spacing w:val="-2"/>
                <w:sz w:val="22"/>
              </w:rPr>
              <w:t>relații</w:t>
            </w:r>
          </w:p>
          <w:p>
            <w:pPr>
              <w:pStyle w:val="TableParagraph"/>
              <w:spacing w:line="238" w:lineRule="exact" w:before="1"/>
              <w:ind w:left="109"/>
              <w:rPr>
                <w:sz w:val="22"/>
              </w:rPr>
            </w:pPr>
            <w:r>
              <w:rPr>
                <w:spacing w:val="-2"/>
                <w:sz w:val="22"/>
              </w:rPr>
              <w:t>internaționale</w:t>
            </w:r>
          </w:p>
        </w:tc>
      </w:tr>
      <w:tr>
        <w:trPr>
          <w:trHeight w:val="350" w:hRule="atLeast"/>
        </w:trPr>
        <w:tc>
          <w:tcPr>
            <w:tcW w:w="10604" w:type="dxa"/>
            <w:gridSpan w:val="7"/>
          </w:tcPr>
          <w:p>
            <w:pPr>
              <w:pStyle w:val="TableParagraph"/>
              <w:spacing w:line="249" w:lineRule="exact"/>
              <w:ind w:left="254"/>
              <w:rPr>
                <w:b/>
                <w:sz w:val="22"/>
              </w:rPr>
            </w:pPr>
            <w:r>
              <w:rPr>
                <w:b/>
                <w:sz w:val="22"/>
              </w:rPr>
              <w:t>Ciclul</w:t>
            </w:r>
            <w:r>
              <w:rPr>
                <w:b/>
                <w:spacing w:val="-5"/>
                <w:sz w:val="22"/>
              </w:rPr>
              <w:t> </w:t>
            </w:r>
            <w:r>
              <w:rPr>
                <w:b/>
                <w:sz w:val="22"/>
              </w:rPr>
              <w:t>III,</w:t>
            </w:r>
            <w:r>
              <w:rPr>
                <w:b/>
                <w:spacing w:val="-3"/>
                <w:sz w:val="22"/>
              </w:rPr>
              <w:t> </w:t>
            </w:r>
            <w:r>
              <w:rPr>
                <w:b/>
                <w:spacing w:val="-2"/>
                <w:sz w:val="22"/>
              </w:rPr>
              <w:t>Doctorat</w:t>
            </w:r>
          </w:p>
        </w:tc>
      </w:tr>
      <w:tr>
        <w:trPr>
          <w:trHeight w:val="451" w:hRule="atLeast"/>
        </w:trPr>
        <w:tc>
          <w:tcPr>
            <w:tcW w:w="7088" w:type="dxa"/>
            <w:gridSpan w:val="5"/>
          </w:tcPr>
          <w:p>
            <w:pPr>
              <w:pStyle w:val="TableParagraph"/>
              <w:spacing w:line="226" w:lineRule="exact"/>
              <w:ind w:left="3024" w:right="3007"/>
              <w:jc w:val="center"/>
              <w:rPr>
                <w:sz w:val="22"/>
              </w:rPr>
            </w:pPr>
            <w:r>
              <w:rPr>
                <w:sz w:val="22"/>
              </w:rPr>
              <w:t>Numărul</w:t>
            </w:r>
            <w:r>
              <w:rPr>
                <w:spacing w:val="-14"/>
                <w:sz w:val="22"/>
              </w:rPr>
              <w:t> </w:t>
            </w:r>
            <w:r>
              <w:rPr>
                <w:sz w:val="22"/>
              </w:rPr>
              <w:t>de </w:t>
            </w:r>
            <w:r>
              <w:rPr>
                <w:spacing w:val="-4"/>
                <w:sz w:val="22"/>
              </w:rPr>
              <w:t>ore</w:t>
            </w:r>
          </w:p>
        </w:tc>
        <w:tc>
          <w:tcPr>
            <w:tcW w:w="1355" w:type="dxa"/>
            <w:vMerge w:val="restart"/>
          </w:tcPr>
          <w:p>
            <w:pPr>
              <w:pStyle w:val="TableParagraph"/>
              <w:spacing w:before="136"/>
              <w:ind w:left="162"/>
              <w:rPr>
                <w:sz w:val="22"/>
              </w:rPr>
            </w:pPr>
            <w:r>
              <w:rPr>
                <w:sz w:val="22"/>
              </w:rPr>
              <w:t>Nr</w:t>
            </w:r>
            <w:r>
              <w:rPr>
                <w:spacing w:val="-1"/>
                <w:sz w:val="22"/>
              </w:rPr>
              <w:t> </w:t>
            </w:r>
            <w:r>
              <w:rPr>
                <w:sz w:val="22"/>
              </w:rPr>
              <w:t>de</w:t>
            </w:r>
            <w:r>
              <w:rPr>
                <w:spacing w:val="-8"/>
                <w:sz w:val="22"/>
              </w:rPr>
              <w:t> </w:t>
            </w:r>
            <w:r>
              <w:rPr>
                <w:spacing w:val="-2"/>
                <w:sz w:val="22"/>
              </w:rPr>
              <w:t>credite</w:t>
            </w:r>
          </w:p>
        </w:tc>
        <w:tc>
          <w:tcPr>
            <w:tcW w:w="2161" w:type="dxa"/>
            <w:vMerge w:val="restart"/>
          </w:tcPr>
          <w:p>
            <w:pPr>
              <w:pStyle w:val="TableParagraph"/>
              <w:spacing w:line="230" w:lineRule="exact"/>
              <w:ind w:left="324"/>
              <w:rPr>
                <w:sz w:val="22"/>
              </w:rPr>
            </w:pPr>
            <w:r>
              <w:rPr>
                <w:sz w:val="22"/>
              </w:rPr>
              <w:t>Forma</w:t>
            </w:r>
            <w:r>
              <w:rPr>
                <w:spacing w:val="-4"/>
                <w:sz w:val="22"/>
              </w:rPr>
              <w:t> </w:t>
            </w:r>
            <w:r>
              <w:rPr>
                <w:sz w:val="22"/>
              </w:rPr>
              <w:t>de</w:t>
            </w:r>
            <w:r>
              <w:rPr>
                <w:spacing w:val="-4"/>
                <w:sz w:val="22"/>
              </w:rPr>
              <w:t> </w:t>
            </w:r>
            <w:r>
              <w:rPr>
                <w:spacing w:val="-2"/>
                <w:sz w:val="22"/>
              </w:rPr>
              <w:t>evaluare</w:t>
            </w:r>
          </w:p>
        </w:tc>
      </w:tr>
      <w:tr>
        <w:trPr>
          <w:trHeight w:val="444" w:hRule="atLeast"/>
        </w:trPr>
        <w:tc>
          <w:tcPr>
            <w:tcW w:w="1868" w:type="dxa"/>
            <w:gridSpan w:val="2"/>
          </w:tcPr>
          <w:p>
            <w:pPr>
              <w:pStyle w:val="TableParagraph"/>
              <w:spacing w:line="220" w:lineRule="exact"/>
              <w:ind w:left="734" w:right="717"/>
              <w:jc w:val="center"/>
              <w:rPr>
                <w:sz w:val="22"/>
              </w:rPr>
            </w:pPr>
            <w:r>
              <w:rPr>
                <w:spacing w:val="-4"/>
                <w:sz w:val="22"/>
              </w:rPr>
              <w:t>Tota </w:t>
            </w:r>
            <w:r>
              <w:rPr>
                <w:spacing w:val="-10"/>
                <w:sz w:val="22"/>
              </w:rPr>
              <w:t>l</w:t>
            </w:r>
          </w:p>
        </w:tc>
        <w:tc>
          <w:tcPr>
            <w:tcW w:w="2790" w:type="dxa"/>
            <w:gridSpan w:val="2"/>
          </w:tcPr>
          <w:p>
            <w:pPr>
              <w:pStyle w:val="TableParagraph"/>
              <w:spacing w:line="229" w:lineRule="exact"/>
              <w:ind w:left="782"/>
              <w:rPr>
                <w:sz w:val="22"/>
              </w:rPr>
            </w:pPr>
            <w:r>
              <w:rPr>
                <w:sz w:val="22"/>
              </w:rPr>
              <w:t>Contact</w:t>
            </w:r>
            <w:r>
              <w:rPr>
                <w:spacing w:val="-8"/>
                <w:sz w:val="22"/>
              </w:rPr>
              <w:t> </w:t>
            </w:r>
            <w:r>
              <w:rPr>
                <w:spacing w:val="-2"/>
                <w:sz w:val="22"/>
              </w:rPr>
              <w:t>direct</w:t>
            </w:r>
          </w:p>
        </w:tc>
        <w:tc>
          <w:tcPr>
            <w:tcW w:w="2430" w:type="dxa"/>
          </w:tcPr>
          <w:p>
            <w:pPr>
              <w:pStyle w:val="TableParagraph"/>
              <w:spacing w:line="220" w:lineRule="exact"/>
              <w:ind w:left="767" w:right="73" w:firstLine="153"/>
              <w:rPr>
                <w:sz w:val="22"/>
              </w:rPr>
            </w:pPr>
            <w:r>
              <w:rPr>
                <w:spacing w:val="-2"/>
                <w:sz w:val="22"/>
              </w:rPr>
              <w:t>Lucrul individual</w:t>
            </w:r>
          </w:p>
        </w:tc>
        <w:tc>
          <w:tcPr>
            <w:tcW w:w="1355" w:type="dxa"/>
            <w:vMerge/>
            <w:tcBorders>
              <w:top w:val="nil"/>
            </w:tcBorders>
          </w:tcPr>
          <w:p>
            <w:pPr>
              <w:rPr>
                <w:sz w:val="2"/>
                <w:szCs w:val="2"/>
              </w:rPr>
            </w:pPr>
          </w:p>
        </w:tc>
        <w:tc>
          <w:tcPr>
            <w:tcW w:w="2161" w:type="dxa"/>
            <w:vMerge/>
            <w:tcBorders>
              <w:top w:val="nil"/>
            </w:tcBorders>
          </w:tcPr>
          <w:p>
            <w:pPr>
              <w:rPr>
                <w:sz w:val="2"/>
                <w:szCs w:val="2"/>
              </w:rPr>
            </w:pPr>
          </w:p>
        </w:tc>
      </w:tr>
      <w:tr>
        <w:trPr>
          <w:trHeight w:val="450" w:hRule="atLeast"/>
        </w:trPr>
        <w:tc>
          <w:tcPr>
            <w:tcW w:w="1868" w:type="dxa"/>
            <w:gridSpan w:val="2"/>
          </w:tcPr>
          <w:p>
            <w:pPr>
              <w:pStyle w:val="TableParagraph"/>
              <w:spacing w:line="230" w:lineRule="exact"/>
              <w:ind w:left="18"/>
              <w:jc w:val="center"/>
              <w:rPr>
                <w:sz w:val="22"/>
              </w:rPr>
            </w:pPr>
            <w:r>
              <w:rPr>
                <w:spacing w:val="-5"/>
                <w:sz w:val="22"/>
              </w:rPr>
              <w:t>180</w:t>
            </w:r>
          </w:p>
        </w:tc>
        <w:tc>
          <w:tcPr>
            <w:tcW w:w="2790" w:type="dxa"/>
            <w:gridSpan w:val="2"/>
          </w:tcPr>
          <w:p>
            <w:pPr>
              <w:pStyle w:val="TableParagraph"/>
              <w:spacing w:line="230" w:lineRule="exact"/>
              <w:ind w:left="23"/>
              <w:jc w:val="center"/>
              <w:rPr>
                <w:sz w:val="22"/>
              </w:rPr>
            </w:pPr>
            <w:r>
              <w:rPr>
                <w:spacing w:val="-5"/>
                <w:sz w:val="22"/>
              </w:rPr>
              <w:t>10</w:t>
            </w:r>
          </w:p>
        </w:tc>
        <w:tc>
          <w:tcPr>
            <w:tcW w:w="2430" w:type="dxa"/>
          </w:tcPr>
          <w:p>
            <w:pPr>
              <w:pStyle w:val="TableParagraph"/>
              <w:spacing w:line="230" w:lineRule="exact"/>
              <w:ind w:left="22"/>
              <w:jc w:val="center"/>
              <w:rPr>
                <w:sz w:val="22"/>
              </w:rPr>
            </w:pPr>
            <w:r>
              <w:rPr>
                <w:spacing w:val="-5"/>
                <w:sz w:val="22"/>
              </w:rPr>
              <w:t>170</w:t>
            </w:r>
          </w:p>
        </w:tc>
        <w:tc>
          <w:tcPr>
            <w:tcW w:w="1355" w:type="dxa"/>
          </w:tcPr>
          <w:p>
            <w:pPr>
              <w:pStyle w:val="TableParagraph"/>
              <w:spacing w:line="230" w:lineRule="exact"/>
              <w:ind w:left="15"/>
              <w:jc w:val="center"/>
              <w:rPr>
                <w:sz w:val="22"/>
              </w:rPr>
            </w:pPr>
            <w:r>
              <w:rPr>
                <w:spacing w:val="-10"/>
                <w:sz w:val="22"/>
              </w:rPr>
              <w:t>6</w:t>
            </w:r>
          </w:p>
        </w:tc>
        <w:tc>
          <w:tcPr>
            <w:tcW w:w="2161" w:type="dxa"/>
          </w:tcPr>
          <w:p>
            <w:pPr>
              <w:pStyle w:val="TableParagraph"/>
              <w:spacing w:line="226" w:lineRule="exact"/>
              <w:ind w:left="742" w:right="747"/>
              <w:jc w:val="center"/>
              <w:rPr>
                <w:sz w:val="22"/>
              </w:rPr>
            </w:pPr>
            <w:r>
              <w:rPr>
                <w:spacing w:val="-2"/>
                <w:sz w:val="22"/>
              </w:rPr>
              <w:t>Exame </w:t>
            </w:r>
            <w:r>
              <w:rPr>
                <w:spacing w:val="-10"/>
                <w:sz w:val="22"/>
              </w:rPr>
              <w:t>n</w:t>
            </w:r>
          </w:p>
        </w:tc>
      </w:tr>
      <w:tr>
        <w:trPr>
          <w:trHeight w:val="3037" w:hRule="atLeast"/>
        </w:trPr>
        <w:tc>
          <w:tcPr>
            <w:tcW w:w="1085" w:type="dxa"/>
          </w:tcPr>
          <w:p>
            <w:pPr>
              <w:pStyle w:val="TableParagraph"/>
              <w:spacing w:line="280" w:lineRule="auto"/>
              <w:ind w:left="110" w:right="279"/>
              <w:jc w:val="both"/>
              <w:rPr>
                <w:b/>
                <w:sz w:val="22"/>
              </w:rPr>
            </w:pPr>
            <w:r>
              <w:rPr>
                <w:b/>
                <w:spacing w:val="-2"/>
                <w:sz w:val="22"/>
              </w:rPr>
              <w:t>Funda- mentar </w:t>
            </w:r>
            <w:r>
              <w:rPr>
                <w:b/>
                <w:spacing w:val="-10"/>
                <w:sz w:val="22"/>
              </w:rPr>
              <w:t>e</w:t>
            </w:r>
          </w:p>
        </w:tc>
        <w:tc>
          <w:tcPr>
            <w:tcW w:w="9519" w:type="dxa"/>
            <w:gridSpan w:val="6"/>
          </w:tcPr>
          <w:p>
            <w:pPr>
              <w:pStyle w:val="TableParagraph"/>
              <w:spacing w:before="249"/>
              <w:ind w:right="218"/>
              <w:jc w:val="both"/>
              <w:rPr>
                <w:sz w:val="22"/>
              </w:rPr>
            </w:pPr>
            <w:r>
              <w:rPr>
                <w:sz w:val="22"/>
              </w:rPr>
              <w:t>Scopul disciplinii constă în formarea unei viziuni de ansamblu referitoare la fenomenele și tendințele contemporane în domeniul științelor politice privind relațiile internaționale precum și problemele și strategiile</w:t>
            </w:r>
            <w:r>
              <w:rPr>
                <w:spacing w:val="-14"/>
                <w:sz w:val="22"/>
              </w:rPr>
              <w:t> </w:t>
            </w:r>
            <w:r>
              <w:rPr>
                <w:sz w:val="22"/>
              </w:rPr>
              <w:t>ale</w:t>
            </w:r>
            <w:r>
              <w:rPr>
                <w:spacing w:val="-14"/>
                <w:sz w:val="22"/>
              </w:rPr>
              <w:t> </w:t>
            </w:r>
            <w:r>
              <w:rPr>
                <w:sz w:val="22"/>
              </w:rPr>
              <w:t>dezvoltării</w:t>
            </w:r>
            <w:r>
              <w:rPr>
                <w:spacing w:val="-13"/>
                <w:sz w:val="22"/>
              </w:rPr>
              <w:t> </w:t>
            </w:r>
            <w:r>
              <w:rPr>
                <w:sz w:val="22"/>
              </w:rPr>
              <w:t>globale</w:t>
            </w:r>
            <w:r>
              <w:rPr>
                <w:spacing w:val="-14"/>
                <w:sz w:val="22"/>
              </w:rPr>
              <w:t> </w:t>
            </w:r>
            <w:r>
              <w:rPr>
                <w:sz w:val="22"/>
              </w:rPr>
              <w:t>și</w:t>
            </w:r>
            <w:r>
              <w:rPr>
                <w:spacing w:val="-13"/>
                <w:sz w:val="22"/>
              </w:rPr>
              <w:t> </w:t>
            </w:r>
            <w:r>
              <w:rPr>
                <w:sz w:val="22"/>
              </w:rPr>
              <w:t>regionale.</w:t>
            </w:r>
            <w:r>
              <w:rPr>
                <w:spacing w:val="-8"/>
                <w:sz w:val="22"/>
              </w:rPr>
              <w:t> </w:t>
            </w:r>
            <w:r>
              <w:rPr>
                <w:sz w:val="22"/>
              </w:rPr>
              <w:t>Cursul</w:t>
            </w:r>
            <w:r>
              <w:rPr>
                <w:spacing w:val="-14"/>
                <w:sz w:val="22"/>
              </w:rPr>
              <w:t> </w:t>
            </w:r>
            <w:r>
              <w:rPr>
                <w:sz w:val="22"/>
              </w:rPr>
              <w:t>respectiv</w:t>
            </w:r>
            <w:r>
              <w:rPr>
                <w:spacing w:val="-13"/>
                <w:sz w:val="22"/>
              </w:rPr>
              <w:t> </w:t>
            </w:r>
            <w:r>
              <w:rPr>
                <w:sz w:val="22"/>
              </w:rPr>
              <w:t>permite</w:t>
            </w:r>
            <w:r>
              <w:rPr>
                <w:spacing w:val="-14"/>
                <w:sz w:val="22"/>
              </w:rPr>
              <w:t> </w:t>
            </w:r>
            <w:r>
              <w:rPr>
                <w:sz w:val="22"/>
              </w:rPr>
              <w:t>studenților</w:t>
            </w:r>
            <w:r>
              <w:rPr>
                <w:spacing w:val="-7"/>
                <w:sz w:val="22"/>
              </w:rPr>
              <w:t> </w:t>
            </w:r>
            <w:r>
              <w:rPr>
                <w:sz w:val="22"/>
              </w:rPr>
              <w:t>să</w:t>
            </w:r>
            <w:r>
              <w:rPr>
                <w:spacing w:val="-7"/>
                <w:sz w:val="22"/>
              </w:rPr>
              <w:t> </w:t>
            </w:r>
            <w:r>
              <w:rPr>
                <w:sz w:val="22"/>
              </w:rPr>
              <w:t>înțeleagă</w:t>
            </w:r>
            <w:r>
              <w:rPr>
                <w:spacing w:val="-3"/>
                <w:sz w:val="22"/>
              </w:rPr>
              <w:t> </w:t>
            </w:r>
            <w:r>
              <w:rPr>
                <w:sz w:val="22"/>
              </w:rPr>
              <w:t>diversitatea națională, regională și globală a problemelor contemporane, precum și să identifice principalii factori și tendințe în dezvoltarea instituțiilor și proceselor politice la nivel național, regional și global. În studiul proceselor și fenomenelor globale și regionale, un rol important îl joacă metoda comparativă, care presupune identificarea trăsăturilor comune și specifice care caracterizează un anumit fenomen politic. Utilizarea analizei comparative ne permite să extindem înțelegerea teoretică a proceselor politice care se desfășoară în diferite state și regiuni. Acest curs are ca scop aplicarea abilităților analitice și a gândirii critice</w:t>
            </w:r>
            <w:r>
              <w:rPr>
                <w:spacing w:val="-14"/>
                <w:sz w:val="22"/>
              </w:rPr>
              <w:t> </w:t>
            </w:r>
            <w:r>
              <w:rPr>
                <w:sz w:val="22"/>
              </w:rPr>
              <w:t>în</w:t>
            </w:r>
            <w:r>
              <w:rPr>
                <w:spacing w:val="-14"/>
                <w:sz w:val="22"/>
              </w:rPr>
              <w:t> </w:t>
            </w:r>
            <w:r>
              <w:rPr>
                <w:sz w:val="22"/>
              </w:rPr>
              <w:t>practica</w:t>
            </w:r>
            <w:r>
              <w:rPr>
                <w:spacing w:val="-7"/>
                <w:sz w:val="22"/>
              </w:rPr>
              <w:t> </w:t>
            </w:r>
            <w:r>
              <w:rPr>
                <w:sz w:val="22"/>
              </w:rPr>
              <w:t>de</w:t>
            </w:r>
            <w:r>
              <w:rPr>
                <w:spacing w:val="-14"/>
                <w:sz w:val="22"/>
              </w:rPr>
              <w:t> </w:t>
            </w:r>
            <w:r>
              <w:rPr>
                <w:sz w:val="22"/>
              </w:rPr>
              <w:t>cercetare</w:t>
            </w:r>
            <w:r>
              <w:rPr>
                <w:spacing w:val="-14"/>
                <w:sz w:val="22"/>
              </w:rPr>
              <w:t> </w:t>
            </w:r>
            <w:r>
              <w:rPr>
                <w:sz w:val="22"/>
              </w:rPr>
              <w:t>a</w:t>
            </w:r>
            <w:r>
              <w:rPr>
                <w:spacing w:val="-2"/>
                <w:sz w:val="22"/>
              </w:rPr>
              <w:t> </w:t>
            </w:r>
            <w:r>
              <w:rPr>
                <w:sz w:val="22"/>
              </w:rPr>
              <w:t>doctoranzilor,</w:t>
            </w:r>
            <w:r>
              <w:rPr>
                <w:spacing w:val="-7"/>
                <w:sz w:val="22"/>
              </w:rPr>
              <w:t> </w:t>
            </w:r>
            <w:r>
              <w:rPr>
                <w:sz w:val="22"/>
              </w:rPr>
              <w:t>ceea</w:t>
            </w:r>
            <w:r>
              <w:rPr>
                <w:spacing w:val="-7"/>
                <w:sz w:val="22"/>
              </w:rPr>
              <w:t> </w:t>
            </w:r>
            <w:r>
              <w:rPr>
                <w:sz w:val="22"/>
              </w:rPr>
              <w:t>ce</w:t>
            </w:r>
            <w:r>
              <w:rPr>
                <w:spacing w:val="-14"/>
                <w:sz w:val="22"/>
              </w:rPr>
              <w:t> </w:t>
            </w:r>
            <w:r>
              <w:rPr>
                <w:sz w:val="22"/>
              </w:rPr>
              <w:t>permite</w:t>
            </w:r>
            <w:r>
              <w:rPr>
                <w:spacing w:val="-12"/>
                <w:sz w:val="22"/>
              </w:rPr>
              <w:t> </w:t>
            </w:r>
            <w:r>
              <w:rPr>
                <w:sz w:val="22"/>
              </w:rPr>
              <w:t>o</w:t>
            </w:r>
            <w:r>
              <w:rPr>
                <w:spacing w:val="-8"/>
                <w:sz w:val="22"/>
              </w:rPr>
              <w:t> </w:t>
            </w:r>
            <w:r>
              <w:rPr>
                <w:sz w:val="22"/>
              </w:rPr>
              <w:t>înțelegere</w:t>
            </w:r>
            <w:r>
              <w:rPr>
                <w:spacing w:val="-12"/>
                <w:sz w:val="22"/>
              </w:rPr>
              <w:t> </w:t>
            </w:r>
            <w:r>
              <w:rPr>
                <w:sz w:val="22"/>
              </w:rPr>
              <w:t>mai</w:t>
            </w:r>
            <w:r>
              <w:rPr>
                <w:spacing w:val="-13"/>
                <w:sz w:val="22"/>
              </w:rPr>
              <w:t> </w:t>
            </w:r>
            <w:r>
              <w:rPr>
                <w:sz w:val="22"/>
              </w:rPr>
              <w:t>profundă</w:t>
            </w:r>
            <w:r>
              <w:rPr>
                <w:spacing w:val="-7"/>
                <w:sz w:val="22"/>
              </w:rPr>
              <w:t> </w:t>
            </w:r>
            <w:r>
              <w:rPr>
                <w:sz w:val="22"/>
              </w:rPr>
              <w:t>a</w:t>
            </w:r>
            <w:r>
              <w:rPr>
                <w:spacing w:val="-7"/>
                <w:sz w:val="22"/>
              </w:rPr>
              <w:t> </w:t>
            </w:r>
            <w:r>
              <w:rPr>
                <w:sz w:val="22"/>
              </w:rPr>
              <w:t>caracteristicilor</w:t>
            </w:r>
          </w:p>
          <w:p>
            <w:pPr>
              <w:pStyle w:val="TableParagraph"/>
              <w:spacing w:line="238" w:lineRule="exact" w:before="1"/>
              <w:jc w:val="both"/>
              <w:rPr>
                <w:sz w:val="22"/>
              </w:rPr>
            </w:pPr>
            <w:r>
              <w:rPr>
                <w:sz w:val="22"/>
              </w:rPr>
              <w:t>proceselor</w:t>
            </w:r>
            <w:r>
              <w:rPr>
                <w:spacing w:val="-3"/>
                <w:sz w:val="22"/>
              </w:rPr>
              <w:t> </w:t>
            </w:r>
            <w:r>
              <w:rPr>
                <w:sz w:val="22"/>
              </w:rPr>
              <w:t>politice</w:t>
            </w:r>
            <w:r>
              <w:rPr>
                <w:spacing w:val="-7"/>
                <w:sz w:val="22"/>
              </w:rPr>
              <w:t> </w:t>
            </w:r>
            <w:r>
              <w:rPr>
                <w:sz w:val="22"/>
              </w:rPr>
              <w:t>naționale,</w:t>
            </w:r>
            <w:r>
              <w:rPr>
                <w:spacing w:val="-3"/>
                <w:sz w:val="22"/>
              </w:rPr>
              <w:t> </w:t>
            </w:r>
            <w:r>
              <w:rPr>
                <w:sz w:val="22"/>
              </w:rPr>
              <w:t>regionale</w:t>
            </w:r>
            <w:r>
              <w:rPr>
                <w:spacing w:val="-12"/>
                <w:sz w:val="22"/>
              </w:rPr>
              <w:t> </w:t>
            </w:r>
            <w:r>
              <w:rPr>
                <w:sz w:val="22"/>
              </w:rPr>
              <w:t>și</w:t>
            </w:r>
            <w:r>
              <w:rPr>
                <w:spacing w:val="-8"/>
                <w:sz w:val="22"/>
              </w:rPr>
              <w:t> </w:t>
            </w:r>
            <w:r>
              <w:rPr>
                <w:spacing w:val="-2"/>
                <w:sz w:val="22"/>
              </w:rPr>
              <w:t>globale.</w:t>
            </w:r>
          </w:p>
        </w:tc>
      </w:tr>
      <w:tr>
        <w:trPr>
          <w:trHeight w:val="3288" w:hRule="atLeast"/>
        </w:trPr>
        <w:tc>
          <w:tcPr>
            <w:tcW w:w="1085" w:type="dxa"/>
          </w:tcPr>
          <w:p>
            <w:pPr>
              <w:pStyle w:val="TableParagraph"/>
              <w:spacing w:before="1"/>
              <w:ind w:left="110"/>
              <w:rPr>
                <w:b/>
                <w:sz w:val="22"/>
              </w:rPr>
            </w:pPr>
            <w:r>
              <w:rPr>
                <w:b/>
                <w:spacing w:val="-2"/>
                <w:sz w:val="22"/>
              </w:rPr>
              <w:t>Compe</w:t>
            </w:r>
          </w:p>
          <w:p>
            <w:pPr>
              <w:pStyle w:val="TableParagraph"/>
              <w:spacing w:line="278" w:lineRule="auto" w:before="35"/>
              <w:ind w:left="110" w:right="260"/>
              <w:jc w:val="both"/>
              <w:rPr>
                <w:b/>
                <w:sz w:val="22"/>
              </w:rPr>
            </w:pPr>
            <w:r>
              <w:rPr>
                <w:b/>
                <w:spacing w:val="-2"/>
                <w:sz w:val="22"/>
              </w:rPr>
              <w:t>-</w:t>
            </w:r>
            <w:r>
              <w:rPr>
                <w:b/>
                <w:spacing w:val="-2"/>
                <w:sz w:val="22"/>
              </w:rPr>
              <w:t>tenţele obţinut </w:t>
            </w:r>
            <w:r>
              <w:rPr>
                <w:b/>
                <w:spacing w:val="-10"/>
                <w:sz w:val="22"/>
              </w:rPr>
              <w:t>e</w:t>
            </w:r>
          </w:p>
        </w:tc>
        <w:tc>
          <w:tcPr>
            <w:tcW w:w="9519" w:type="dxa"/>
            <w:gridSpan w:val="6"/>
          </w:tcPr>
          <w:p>
            <w:pPr>
              <w:pStyle w:val="TableParagraph"/>
              <w:spacing w:before="245"/>
              <w:ind w:right="103"/>
              <w:rPr>
                <w:sz w:val="22"/>
              </w:rPr>
            </w:pPr>
            <w:r>
              <w:rPr>
                <w:sz w:val="22"/>
              </w:rPr>
              <w:t>CP</w:t>
            </w:r>
            <w:r>
              <w:rPr>
                <w:spacing w:val="28"/>
                <w:sz w:val="22"/>
              </w:rPr>
              <w:t> </w:t>
            </w:r>
            <w:r>
              <w:rPr>
                <w:sz w:val="22"/>
              </w:rPr>
              <w:t>1.</w:t>
            </w:r>
            <w:r>
              <w:rPr>
                <w:spacing w:val="27"/>
                <w:sz w:val="22"/>
              </w:rPr>
              <w:t> </w:t>
            </w:r>
            <w:r>
              <w:rPr>
                <w:sz w:val="22"/>
              </w:rPr>
              <w:t>Cunoașterea</w:t>
            </w:r>
            <w:r>
              <w:rPr>
                <w:spacing w:val="31"/>
                <w:sz w:val="22"/>
              </w:rPr>
              <w:t> </w:t>
            </w:r>
            <w:r>
              <w:rPr>
                <w:sz w:val="22"/>
              </w:rPr>
              <w:t>conceptelor</w:t>
            </w:r>
            <w:r>
              <w:rPr>
                <w:spacing w:val="30"/>
                <w:sz w:val="22"/>
              </w:rPr>
              <w:t> </w:t>
            </w:r>
            <w:r>
              <w:rPr>
                <w:sz w:val="22"/>
              </w:rPr>
              <w:t>fundamentale ale științelor</w:t>
            </w:r>
            <w:r>
              <w:rPr>
                <w:spacing w:val="30"/>
                <w:sz w:val="22"/>
              </w:rPr>
              <w:t> </w:t>
            </w:r>
            <w:r>
              <w:rPr>
                <w:sz w:val="22"/>
              </w:rPr>
              <w:t>politice și teoriei relațiilor</w:t>
            </w:r>
            <w:r>
              <w:rPr>
                <w:spacing w:val="30"/>
                <w:sz w:val="22"/>
              </w:rPr>
              <w:t> </w:t>
            </w:r>
            <w:r>
              <w:rPr>
                <w:sz w:val="22"/>
              </w:rPr>
              <w:t>internaționele</w:t>
            </w:r>
            <w:r>
              <w:rPr>
                <w:spacing w:val="28"/>
                <w:sz w:val="22"/>
              </w:rPr>
              <w:t> </w:t>
            </w:r>
            <w:r>
              <w:rPr>
                <w:sz w:val="22"/>
              </w:rPr>
              <w:t>și utilizarea corectă a acestora în demersurile de cercetare.</w:t>
            </w:r>
          </w:p>
          <w:p>
            <w:pPr>
              <w:pStyle w:val="TableParagraph"/>
              <w:spacing w:line="237" w:lineRule="auto" w:before="6"/>
              <w:ind w:right="103"/>
              <w:rPr>
                <w:sz w:val="22"/>
              </w:rPr>
            </w:pPr>
            <w:r>
              <w:rPr>
                <w:sz w:val="22"/>
              </w:rPr>
              <w:t>CP 2. Identificarea problemelor de cercetare politologică a dezvoltării naționale din contextul global și</w:t>
            </w:r>
            <w:r>
              <w:rPr>
                <w:spacing w:val="40"/>
                <w:sz w:val="22"/>
              </w:rPr>
              <w:t> </w:t>
            </w:r>
            <w:r>
              <w:rPr>
                <w:spacing w:val="-2"/>
                <w:sz w:val="22"/>
              </w:rPr>
              <w:t>regional.</w:t>
            </w:r>
          </w:p>
          <w:p>
            <w:pPr>
              <w:pStyle w:val="TableParagraph"/>
              <w:spacing w:before="1"/>
              <w:ind w:right="103"/>
              <w:rPr>
                <w:sz w:val="22"/>
              </w:rPr>
            </w:pPr>
            <w:r>
              <w:rPr>
                <w:sz w:val="22"/>
              </w:rPr>
              <w:t>CP</w:t>
            </w:r>
            <w:r>
              <w:rPr>
                <w:spacing w:val="-1"/>
                <w:sz w:val="22"/>
              </w:rPr>
              <w:t> </w:t>
            </w:r>
            <w:r>
              <w:rPr>
                <w:sz w:val="22"/>
              </w:rPr>
              <w:t>3. Identificarea și</w:t>
            </w:r>
            <w:r>
              <w:rPr>
                <w:spacing w:val="-1"/>
                <w:sz w:val="22"/>
              </w:rPr>
              <w:t> </w:t>
            </w:r>
            <w:r>
              <w:rPr>
                <w:sz w:val="22"/>
              </w:rPr>
              <w:t>cercetarea problemelelor și</w:t>
            </w:r>
            <w:r>
              <w:rPr>
                <w:spacing w:val="-1"/>
                <w:sz w:val="22"/>
              </w:rPr>
              <w:t> </w:t>
            </w:r>
            <w:r>
              <w:rPr>
                <w:sz w:val="22"/>
              </w:rPr>
              <w:t>strategiilor ale</w:t>
            </w:r>
            <w:r>
              <w:rPr>
                <w:spacing w:val="-2"/>
                <w:sz w:val="22"/>
              </w:rPr>
              <w:t> </w:t>
            </w:r>
            <w:r>
              <w:rPr>
                <w:sz w:val="22"/>
              </w:rPr>
              <w:t>dezvoltării</w:t>
            </w:r>
            <w:r>
              <w:rPr>
                <w:spacing w:val="-2"/>
                <w:sz w:val="22"/>
              </w:rPr>
              <w:t> </w:t>
            </w:r>
            <w:r>
              <w:rPr>
                <w:sz w:val="22"/>
              </w:rPr>
              <w:t>globale</w:t>
            </w:r>
            <w:r>
              <w:rPr>
                <w:spacing w:val="-5"/>
                <w:sz w:val="22"/>
              </w:rPr>
              <w:t> </w:t>
            </w:r>
            <w:r>
              <w:rPr>
                <w:sz w:val="22"/>
              </w:rPr>
              <w:t>și</w:t>
            </w:r>
            <w:r>
              <w:rPr>
                <w:spacing w:val="-1"/>
                <w:sz w:val="22"/>
              </w:rPr>
              <w:t> </w:t>
            </w:r>
            <w:r>
              <w:rPr>
                <w:sz w:val="22"/>
              </w:rPr>
              <w:t>regionale</w:t>
            </w:r>
            <w:r>
              <w:rPr>
                <w:spacing w:val="-3"/>
                <w:sz w:val="22"/>
              </w:rPr>
              <w:t> </w:t>
            </w:r>
            <w:r>
              <w:rPr>
                <w:sz w:val="22"/>
              </w:rPr>
              <w:t>ca obiect de studiu al științelor politice și teoriei relațiile internaționale.</w:t>
            </w:r>
          </w:p>
          <w:p>
            <w:pPr>
              <w:pStyle w:val="TableParagraph"/>
              <w:spacing w:line="237" w:lineRule="auto" w:before="5"/>
              <w:ind w:right="103"/>
              <w:rPr>
                <w:sz w:val="22"/>
              </w:rPr>
            </w:pPr>
            <w:r>
              <w:rPr>
                <w:sz w:val="22"/>
              </w:rPr>
              <w:t>CP 4. Extrapolarea paradigmelor contemporane ale</w:t>
            </w:r>
            <w:r>
              <w:rPr>
                <w:spacing w:val="-1"/>
                <w:sz w:val="22"/>
              </w:rPr>
              <w:t> </w:t>
            </w:r>
            <w:r>
              <w:rPr>
                <w:sz w:val="22"/>
              </w:rPr>
              <w:t>teoriei relațiilor internaționale în domeniul aplicativ- </w:t>
            </w:r>
            <w:r>
              <w:rPr>
                <w:spacing w:val="-2"/>
                <w:sz w:val="22"/>
              </w:rPr>
              <w:t>practic.</w:t>
            </w:r>
          </w:p>
          <w:p>
            <w:pPr>
              <w:pStyle w:val="TableParagraph"/>
              <w:spacing w:before="1"/>
              <w:ind w:right="103"/>
              <w:rPr>
                <w:sz w:val="22"/>
              </w:rPr>
            </w:pPr>
            <w:r>
              <w:rPr>
                <w:sz w:val="22"/>
              </w:rPr>
              <w:t>CP 5. Elaborarea și</w:t>
            </w:r>
            <w:r>
              <w:rPr>
                <w:spacing w:val="-2"/>
                <w:sz w:val="22"/>
              </w:rPr>
              <w:t> </w:t>
            </w:r>
            <w:r>
              <w:rPr>
                <w:sz w:val="22"/>
              </w:rPr>
              <w:t>fundamentarea proiectelor de cercetare în domeniul științelor politice privind studiul relațiilor internaționale precum și dezvoltării globale și regionale.</w:t>
            </w:r>
          </w:p>
        </w:tc>
      </w:tr>
      <w:tr>
        <w:trPr>
          <w:trHeight w:val="2415" w:hRule="atLeast"/>
        </w:trPr>
        <w:tc>
          <w:tcPr>
            <w:tcW w:w="1085" w:type="dxa"/>
          </w:tcPr>
          <w:p>
            <w:pPr>
              <w:pStyle w:val="TableParagraph"/>
              <w:spacing w:line="278" w:lineRule="auto" w:before="1"/>
              <w:ind w:left="110" w:right="168"/>
              <w:rPr>
                <w:b/>
                <w:sz w:val="22"/>
              </w:rPr>
            </w:pPr>
            <w:r>
              <w:rPr>
                <w:b/>
                <w:spacing w:val="-2"/>
                <w:sz w:val="22"/>
              </w:rPr>
              <w:t>Conţi- nutul disciplin </w:t>
            </w:r>
            <w:r>
              <w:rPr>
                <w:b/>
                <w:spacing w:val="-6"/>
                <w:sz w:val="22"/>
              </w:rPr>
              <w:t>ei</w:t>
            </w:r>
          </w:p>
        </w:tc>
        <w:tc>
          <w:tcPr>
            <w:tcW w:w="9519" w:type="dxa"/>
            <w:gridSpan w:val="6"/>
          </w:tcPr>
          <w:p>
            <w:pPr>
              <w:pStyle w:val="TableParagraph"/>
              <w:numPr>
                <w:ilvl w:val="0"/>
                <w:numId w:val="1"/>
              </w:numPr>
              <w:tabs>
                <w:tab w:pos="362" w:val="left" w:leader="none"/>
                <w:tab w:pos="441" w:val="left" w:leader="none"/>
              </w:tabs>
              <w:spacing w:line="278" w:lineRule="auto" w:before="212" w:after="0"/>
              <w:ind w:left="441" w:right="939" w:hanging="361"/>
              <w:jc w:val="both"/>
              <w:rPr>
                <w:sz w:val="22"/>
              </w:rPr>
            </w:pPr>
            <w:r>
              <w:rPr>
                <w:sz w:val="22"/>
              </w:rPr>
              <w:t>Abordări</w:t>
            </w:r>
            <w:r>
              <w:rPr>
                <w:spacing w:val="-5"/>
                <w:sz w:val="22"/>
              </w:rPr>
              <w:t> </w:t>
            </w:r>
            <w:r>
              <w:rPr>
                <w:sz w:val="22"/>
              </w:rPr>
              <w:t>teoretice</w:t>
            </w:r>
            <w:r>
              <w:rPr>
                <w:spacing w:val="-6"/>
                <w:sz w:val="22"/>
              </w:rPr>
              <w:t> </w:t>
            </w:r>
            <w:r>
              <w:rPr>
                <w:sz w:val="22"/>
              </w:rPr>
              <w:t>contemporane</w:t>
            </w:r>
            <w:r>
              <w:rPr>
                <w:spacing w:val="-8"/>
                <w:sz w:val="22"/>
              </w:rPr>
              <w:t> </w:t>
            </w:r>
            <w:r>
              <w:rPr>
                <w:sz w:val="22"/>
              </w:rPr>
              <w:t>în</w:t>
            </w:r>
            <w:r>
              <w:rPr>
                <w:spacing w:val="40"/>
                <w:sz w:val="22"/>
              </w:rPr>
              <w:t> </w:t>
            </w:r>
            <w:r>
              <w:rPr>
                <w:sz w:val="22"/>
              </w:rPr>
              <w:t>știința politică, studii</w:t>
            </w:r>
            <w:r>
              <w:rPr>
                <w:spacing w:val="-5"/>
                <w:sz w:val="22"/>
              </w:rPr>
              <w:t> </w:t>
            </w:r>
            <w:r>
              <w:rPr>
                <w:sz w:val="22"/>
              </w:rPr>
              <w:t>strategice</w:t>
            </w:r>
            <w:r>
              <w:rPr>
                <w:spacing w:val="-8"/>
                <w:sz w:val="22"/>
              </w:rPr>
              <w:t> </w:t>
            </w:r>
            <w:r>
              <w:rPr>
                <w:sz w:val="22"/>
              </w:rPr>
              <w:t>ale dezvoltării</w:t>
            </w:r>
            <w:r>
              <w:rPr>
                <w:spacing w:val="-5"/>
                <w:sz w:val="22"/>
              </w:rPr>
              <w:t> </w:t>
            </w:r>
            <w:r>
              <w:rPr>
                <w:sz w:val="22"/>
              </w:rPr>
              <w:t>globale</w:t>
            </w:r>
            <w:r>
              <w:rPr>
                <w:spacing w:val="-8"/>
                <w:sz w:val="22"/>
              </w:rPr>
              <w:t> </w:t>
            </w:r>
            <w:r>
              <w:rPr>
                <w:sz w:val="22"/>
              </w:rPr>
              <w:t>și </w:t>
            </w:r>
            <w:r>
              <w:rPr>
                <w:spacing w:val="-2"/>
                <w:sz w:val="22"/>
              </w:rPr>
              <w:t>regionale.</w:t>
            </w:r>
          </w:p>
          <w:p>
            <w:pPr>
              <w:pStyle w:val="TableParagraph"/>
              <w:numPr>
                <w:ilvl w:val="0"/>
                <w:numId w:val="1"/>
              </w:numPr>
              <w:tabs>
                <w:tab w:pos="439" w:val="left" w:leader="none"/>
                <w:tab w:pos="441" w:val="left" w:leader="none"/>
              </w:tabs>
              <w:spacing w:line="259" w:lineRule="auto" w:before="13" w:after="0"/>
              <w:ind w:left="441" w:right="-15" w:hanging="361"/>
              <w:jc w:val="both"/>
              <w:rPr>
                <w:sz w:val="22"/>
              </w:rPr>
            </w:pPr>
            <w:r>
              <w:rPr>
                <w:sz w:val="22"/>
              </w:rPr>
              <w:t>Tendințe actuale în studiul dezvoltării globale și regionale, vizând aplicarea principiilor: istorismului, obiectivității</w:t>
            </w:r>
            <w:r>
              <w:rPr>
                <w:spacing w:val="-4"/>
                <w:sz w:val="22"/>
              </w:rPr>
              <w:t> </w:t>
            </w:r>
            <w:r>
              <w:rPr>
                <w:sz w:val="22"/>
              </w:rPr>
              <w:t>absolute, complementarității, schimbării</w:t>
            </w:r>
            <w:r>
              <w:rPr>
                <w:spacing w:val="-4"/>
                <w:sz w:val="22"/>
              </w:rPr>
              <w:t> </w:t>
            </w:r>
            <w:r>
              <w:rPr>
                <w:sz w:val="22"/>
              </w:rPr>
              <w:t>şi</w:t>
            </w:r>
            <w:r>
              <w:rPr>
                <w:spacing w:val="-4"/>
                <w:sz w:val="22"/>
              </w:rPr>
              <w:t> </w:t>
            </w:r>
            <w:r>
              <w:rPr>
                <w:sz w:val="22"/>
              </w:rPr>
              <w:t>dezvoltării, unităţii domeniului</w:t>
            </w:r>
            <w:r>
              <w:rPr>
                <w:spacing w:val="-4"/>
                <w:sz w:val="22"/>
              </w:rPr>
              <w:t> </w:t>
            </w:r>
            <w:r>
              <w:rPr>
                <w:sz w:val="22"/>
              </w:rPr>
              <w:t>logic</w:t>
            </w:r>
            <w:r>
              <w:rPr>
                <w:spacing w:val="-2"/>
                <w:sz w:val="22"/>
              </w:rPr>
              <w:t> </w:t>
            </w:r>
            <w:r>
              <w:rPr>
                <w:sz w:val="22"/>
              </w:rPr>
              <w:t>şi</w:t>
            </w:r>
            <w:r>
              <w:rPr>
                <w:spacing w:val="-4"/>
                <w:sz w:val="22"/>
              </w:rPr>
              <w:t> </w:t>
            </w:r>
            <w:r>
              <w:rPr>
                <w:sz w:val="22"/>
              </w:rPr>
              <w:t>istoric, sistematic, combinarea teoriei şi practicii.</w:t>
            </w:r>
          </w:p>
          <w:p>
            <w:pPr>
              <w:pStyle w:val="TableParagraph"/>
              <w:numPr>
                <w:ilvl w:val="0"/>
                <w:numId w:val="1"/>
              </w:numPr>
              <w:tabs>
                <w:tab w:pos="363" w:val="left" w:leader="none"/>
              </w:tabs>
              <w:spacing w:line="235" w:lineRule="exact" w:before="0" w:after="0"/>
              <w:ind w:left="363" w:right="0" w:hanging="282"/>
              <w:jc w:val="both"/>
              <w:rPr>
                <w:sz w:val="22"/>
              </w:rPr>
            </w:pPr>
            <w:r>
              <w:rPr>
                <w:sz w:val="22"/>
              </w:rPr>
              <w:t>Evedințierea</w:t>
            </w:r>
            <w:r>
              <w:rPr>
                <w:spacing w:val="-2"/>
                <w:sz w:val="22"/>
              </w:rPr>
              <w:t> </w:t>
            </w:r>
            <w:r>
              <w:rPr>
                <w:sz w:val="22"/>
              </w:rPr>
              <w:t>problemelor</w:t>
            </w:r>
            <w:r>
              <w:rPr>
                <w:spacing w:val="-2"/>
                <w:sz w:val="22"/>
              </w:rPr>
              <w:t> </w:t>
            </w:r>
            <w:r>
              <w:rPr>
                <w:sz w:val="22"/>
              </w:rPr>
              <w:t>globale</w:t>
            </w:r>
            <w:r>
              <w:rPr>
                <w:spacing w:val="-11"/>
                <w:sz w:val="22"/>
              </w:rPr>
              <w:t> </w:t>
            </w:r>
            <w:r>
              <w:rPr>
                <w:sz w:val="22"/>
              </w:rPr>
              <w:t>și</w:t>
            </w:r>
            <w:r>
              <w:rPr>
                <w:spacing w:val="-7"/>
                <w:sz w:val="22"/>
              </w:rPr>
              <w:t> </w:t>
            </w:r>
            <w:r>
              <w:rPr>
                <w:sz w:val="22"/>
              </w:rPr>
              <w:t>regionale</w:t>
            </w:r>
            <w:r>
              <w:rPr>
                <w:spacing w:val="-10"/>
                <w:sz w:val="22"/>
              </w:rPr>
              <w:t> </w:t>
            </w:r>
            <w:r>
              <w:rPr>
                <w:sz w:val="22"/>
              </w:rPr>
              <w:t>la</w:t>
            </w:r>
            <w:r>
              <w:rPr>
                <w:spacing w:val="2"/>
                <w:sz w:val="22"/>
              </w:rPr>
              <w:t> </w:t>
            </w:r>
            <w:r>
              <w:rPr>
                <w:sz w:val="22"/>
              </w:rPr>
              <w:t>etapa</w:t>
            </w:r>
            <w:r>
              <w:rPr>
                <w:spacing w:val="-6"/>
                <w:sz w:val="22"/>
              </w:rPr>
              <w:t> </w:t>
            </w:r>
            <w:r>
              <w:rPr>
                <w:spacing w:val="-2"/>
                <w:sz w:val="22"/>
              </w:rPr>
              <w:t>actuală.</w:t>
            </w:r>
          </w:p>
          <w:p>
            <w:pPr>
              <w:pStyle w:val="TableParagraph"/>
              <w:numPr>
                <w:ilvl w:val="0"/>
                <w:numId w:val="1"/>
              </w:numPr>
              <w:tabs>
                <w:tab w:pos="301" w:val="left" w:leader="none"/>
              </w:tabs>
              <w:spacing w:line="240" w:lineRule="auto" w:before="35" w:after="0"/>
              <w:ind w:left="301" w:right="0" w:hanging="220"/>
              <w:jc w:val="both"/>
              <w:rPr>
                <w:sz w:val="22"/>
              </w:rPr>
            </w:pPr>
            <w:r>
              <w:rPr>
                <w:sz w:val="22"/>
              </w:rPr>
              <w:t>Cercetarea</w:t>
            </w:r>
            <w:r>
              <w:rPr>
                <w:spacing w:val="-4"/>
                <w:sz w:val="22"/>
              </w:rPr>
              <w:t> </w:t>
            </w:r>
            <w:r>
              <w:rPr>
                <w:sz w:val="22"/>
              </w:rPr>
              <w:t>științifică</w:t>
            </w:r>
            <w:r>
              <w:rPr>
                <w:spacing w:val="-2"/>
                <w:sz w:val="22"/>
              </w:rPr>
              <w:t> </w:t>
            </w:r>
            <w:r>
              <w:rPr>
                <w:sz w:val="22"/>
              </w:rPr>
              <w:t>a</w:t>
            </w:r>
            <w:r>
              <w:rPr>
                <w:spacing w:val="-6"/>
                <w:sz w:val="22"/>
              </w:rPr>
              <w:t> </w:t>
            </w:r>
            <w:r>
              <w:rPr>
                <w:sz w:val="22"/>
              </w:rPr>
              <w:t>răspunsului</w:t>
            </w:r>
            <w:r>
              <w:rPr>
                <w:spacing w:val="-8"/>
                <w:sz w:val="22"/>
              </w:rPr>
              <w:t> </w:t>
            </w:r>
            <w:r>
              <w:rPr>
                <w:sz w:val="22"/>
              </w:rPr>
              <w:t>național</w:t>
            </w:r>
            <w:r>
              <w:rPr>
                <w:spacing w:val="-7"/>
                <w:sz w:val="22"/>
              </w:rPr>
              <w:t> </w:t>
            </w:r>
            <w:r>
              <w:rPr>
                <w:sz w:val="22"/>
              </w:rPr>
              <w:t>la</w:t>
            </w:r>
            <w:r>
              <w:rPr>
                <w:spacing w:val="-2"/>
                <w:sz w:val="22"/>
              </w:rPr>
              <w:t> </w:t>
            </w:r>
            <w:r>
              <w:rPr>
                <w:sz w:val="22"/>
              </w:rPr>
              <w:t>problemele</w:t>
            </w:r>
            <w:r>
              <w:rPr>
                <w:spacing w:val="-6"/>
                <w:sz w:val="22"/>
              </w:rPr>
              <w:t> </w:t>
            </w:r>
            <w:r>
              <w:rPr>
                <w:sz w:val="22"/>
              </w:rPr>
              <w:t>globale</w:t>
            </w:r>
            <w:r>
              <w:rPr>
                <w:spacing w:val="-11"/>
                <w:sz w:val="22"/>
              </w:rPr>
              <w:t> </w:t>
            </w:r>
            <w:r>
              <w:rPr>
                <w:sz w:val="22"/>
              </w:rPr>
              <w:t>și</w:t>
            </w:r>
            <w:r>
              <w:rPr>
                <w:spacing w:val="-6"/>
                <w:sz w:val="22"/>
              </w:rPr>
              <w:t> </w:t>
            </w:r>
            <w:r>
              <w:rPr>
                <w:spacing w:val="-2"/>
                <w:sz w:val="22"/>
              </w:rPr>
              <w:t>regionale.</w:t>
            </w:r>
          </w:p>
        </w:tc>
      </w:tr>
      <w:tr>
        <w:trPr>
          <w:trHeight w:val="3586" w:hRule="atLeast"/>
        </w:trPr>
        <w:tc>
          <w:tcPr>
            <w:tcW w:w="1085" w:type="dxa"/>
          </w:tcPr>
          <w:p>
            <w:pPr>
              <w:pStyle w:val="TableParagraph"/>
              <w:spacing w:line="278" w:lineRule="auto" w:before="1"/>
              <w:ind w:left="110" w:right="190"/>
              <w:rPr>
                <w:b/>
                <w:sz w:val="22"/>
              </w:rPr>
            </w:pPr>
            <w:r>
              <w:rPr>
                <w:b/>
                <w:spacing w:val="-2"/>
                <w:sz w:val="22"/>
              </w:rPr>
              <w:t>Biblio- grafia </w:t>
            </w:r>
            <w:r>
              <w:rPr>
                <w:b/>
                <w:spacing w:val="-4"/>
                <w:sz w:val="22"/>
              </w:rPr>
              <w:t>minimal </w:t>
            </w:r>
            <w:r>
              <w:rPr>
                <w:b/>
                <w:spacing w:val="-10"/>
                <w:sz w:val="22"/>
              </w:rPr>
              <w:t>ă</w:t>
            </w:r>
          </w:p>
        </w:tc>
        <w:tc>
          <w:tcPr>
            <w:tcW w:w="9519" w:type="dxa"/>
            <w:gridSpan w:val="6"/>
          </w:tcPr>
          <w:p>
            <w:pPr>
              <w:pStyle w:val="TableParagraph"/>
              <w:spacing w:line="249" w:lineRule="exact"/>
              <w:rPr>
                <w:sz w:val="22"/>
              </w:rPr>
            </w:pPr>
            <w:r>
              <w:rPr>
                <w:b/>
                <w:sz w:val="22"/>
              </w:rPr>
              <w:t>Surse</w:t>
            </w:r>
            <w:r>
              <w:rPr>
                <w:b/>
                <w:spacing w:val="-9"/>
                <w:sz w:val="22"/>
              </w:rPr>
              <w:t> </w:t>
            </w:r>
            <w:r>
              <w:rPr>
                <w:b/>
                <w:spacing w:val="-2"/>
                <w:sz w:val="22"/>
              </w:rPr>
              <w:t>bibliografice</w:t>
            </w:r>
            <w:r>
              <w:rPr>
                <w:spacing w:val="-2"/>
                <w:sz w:val="22"/>
              </w:rPr>
              <w:t>:</w:t>
            </w:r>
          </w:p>
          <w:p>
            <w:pPr>
              <w:pStyle w:val="TableParagraph"/>
              <w:numPr>
                <w:ilvl w:val="0"/>
                <w:numId w:val="2"/>
              </w:numPr>
              <w:tabs>
                <w:tab w:pos="724" w:val="left" w:leader="none"/>
              </w:tabs>
              <w:spacing w:line="240" w:lineRule="auto" w:before="44" w:after="0"/>
              <w:ind w:left="724" w:right="108" w:hanging="360"/>
              <w:jc w:val="left"/>
              <w:rPr>
                <w:sz w:val="22"/>
              </w:rPr>
            </w:pPr>
            <w:r>
              <w:rPr>
                <w:sz w:val="22"/>
              </w:rPr>
              <w:t>Știința</w:t>
            </w:r>
            <w:r>
              <w:rPr>
                <w:spacing w:val="-2"/>
                <w:sz w:val="22"/>
              </w:rPr>
              <w:t> </w:t>
            </w:r>
            <w:r>
              <w:rPr>
                <w:sz w:val="22"/>
              </w:rPr>
              <w:t>și</w:t>
            </w:r>
            <w:r>
              <w:rPr>
                <w:spacing w:val="-7"/>
                <w:sz w:val="22"/>
              </w:rPr>
              <w:t> </w:t>
            </w:r>
            <w:r>
              <w:rPr>
                <w:sz w:val="22"/>
              </w:rPr>
              <w:t>globalizarea</w:t>
            </w:r>
            <w:r>
              <w:rPr>
                <w:spacing w:val="-2"/>
                <w:sz w:val="22"/>
              </w:rPr>
              <w:t> </w:t>
            </w:r>
            <w:r>
              <w:rPr>
                <w:sz w:val="22"/>
              </w:rPr>
              <w:t>în</w:t>
            </w:r>
            <w:r>
              <w:rPr>
                <w:spacing w:val="-5"/>
                <w:sz w:val="22"/>
              </w:rPr>
              <w:t> </w:t>
            </w:r>
            <w:r>
              <w:rPr>
                <w:sz w:val="22"/>
              </w:rPr>
              <w:t>mileniul</w:t>
            </w:r>
            <w:r>
              <w:rPr>
                <w:spacing w:val="-8"/>
                <w:sz w:val="22"/>
              </w:rPr>
              <w:t> </w:t>
            </w:r>
            <w:r>
              <w:rPr>
                <w:sz w:val="22"/>
              </w:rPr>
              <w:t>III.</w:t>
            </w:r>
            <w:r>
              <w:rPr>
                <w:spacing w:val="-3"/>
                <w:sz w:val="22"/>
              </w:rPr>
              <w:t> </w:t>
            </w:r>
            <w:r>
              <w:rPr>
                <w:sz w:val="22"/>
              </w:rPr>
              <w:t>Mai,</w:t>
            </w:r>
            <w:r>
              <w:rPr>
                <w:spacing w:val="-7"/>
                <w:sz w:val="22"/>
              </w:rPr>
              <w:t> </w:t>
            </w:r>
            <w:r>
              <w:rPr>
                <w:sz w:val="22"/>
              </w:rPr>
              <w:t>2008</w:t>
            </w:r>
            <w:r>
              <w:rPr>
                <w:spacing w:val="-9"/>
                <w:sz w:val="22"/>
              </w:rPr>
              <w:t> </w:t>
            </w:r>
            <w:r>
              <w:rPr>
                <w:sz w:val="22"/>
              </w:rPr>
              <w:t>//</w:t>
            </w:r>
            <w:hyperlink r:id="rId5">
              <w:r>
                <w:rPr>
                  <w:sz w:val="22"/>
                </w:rPr>
                <w:t>www.cono.ro/stiinta-si-globalizarea-in-mileniul-</w:t>
              </w:r>
            </w:hyperlink>
            <w:r>
              <w:rPr>
                <w:sz w:val="22"/>
              </w:rPr>
              <w:t> </w:t>
            </w:r>
            <w:r>
              <w:rPr>
                <w:spacing w:val="-4"/>
                <w:sz w:val="22"/>
              </w:rPr>
              <w:t>III/</w:t>
            </w:r>
          </w:p>
          <w:p>
            <w:pPr>
              <w:pStyle w:val="TableParagraph"/>
              <w:numPr>
                <w:ilvl w:val="0"/>
                <w:numId w:val="2"/>
              </w:numPr>
              <w:tabs>
                <w:tab w:pos="723" w:val="left" w:leader="none"/>
              </w:tabs>
              <w:spacing w:line="251" w:lineRule="exact" w:before="0" w:after="0"/>
              <w:ind w:left="723" w:right="0" w:hanging="359"/>
              <w:jc w:val="left"/>
              <w:rPr>
                <w:sz w:val="22"/>
              </w:rPr>
            </w:pPr>
            <w:r>
              <w:rPr>
                <w:sz w:val="22"/>
              </w:rPr>
              <w:t>Vasile</w:t>
            </w:r>
            <w:r>
              <w:rPr>
                <w:spacing w:val="-14"/>
                <w:sz w:val="22"/>
              </w:rPr>
              <w:t> </w:t>
            </w:r>
            <w:r>
              <w:rPr>
                <w:sz w:val="22"/>
              </w:rPr>
              <w:t>Stănescu.</w:t>
            </w:r>
            <w:r>
              <w:rPr>
                <w:spacing w:val="-7"/>
                <w:sz w:val="22"/>
              </w:rPr>
              <w:t> </w:t>
            </w:r>
            <w:r>
              <w:rPr>
                <w:sz w:val="22"/>
              </w:rPr>
              <w:t>Știința</w:t>
            </w:r>
            <w:r>
              <w:rPr>
                <w:spacing w:val="-6"/>
                <w:sz w:val="22"/>
              </w:rPr>
              <w:t> </w:t>
            </w:r>
            <w:r>
              <w:rPr>
                <w:sz w:val="22"/>
              </w:rPr>
              <w:t>globalizării.</w:t>
            </w:r>
            <w:r>
              <w:rPr>
                <w:spacing w:val="-6"/>
                <w:sz w:val="22"/>
              </w:rPr>
              <w:t> </w:t>
            </w:r>
            <w:r>
              <w:rPr>
                <w:sz w:val="22"/>
              </w:rPr>
              <w:t>Ed.C.H.Beck.</w:t>
            </w:r>
            <w:r>
              <w:rPr>
                <w:spacing w:val="-7"/>
                <w:sz w:val="22"/>
              </w:rPr>
              <w:t> </w:t>
            </w:r>
            <w:r>
              <w:rPr>
                <w:sz w:val="22"/>
              </w:rPr>
              <w:t>București,</w:t>
            </w:r>
            <w:r>
              <w:rPr>
                <w:spacing w:val="-6"/>
                <w:sz w:val="22"/>
              </w:rPr>
              <w:t> </w:t>
            </w:r>
            <w:r>
              <w:rPr>
                <w:spacing w:val="-2"/>
                <w:sz w:val="22"/>
              </w:rPr>
              <w:t>2005.</w:t>
            </w:r>
          </w:p>
          <w:p>
            <w:pPr>
              <w:pStyle w:val="TableParagraph"/>
              <w:numPr>
                <w:ilvl w:val="0"/>
                <w:numId w:val="2"/>
              </w:numPr>
              <w:tabs>
                <w:tab w:pos="724" w:val="left" w:leader="none"/>
              </w:tabs>
              <w:spacing w:line="240" w:lineRule="auto" w:before="2" w:after="0"/>
              <w:ind w:left="724" w:right="167" w:hanging="360"/>
              <w:jc w:val="left"/>
              <w:rPr>
                <w:sz w:val="22"/>
              </w:rPr>
            </w:pPr>
            <w:r>
              <w:rPr>
                <w:sz w:val="22"/>
              </w:rPr>
              <w:t>Ghorghe</w:t>
            </w:r>
            <w:r>
              <w:rPr>
                <w:spacing w:val="-9"/>
                <w:sz w:val="22"/>
              </w:rPr>
              <w:t> </w:t>
            </w:r>
            <w:r>
              <w:rPr>
                <w:sz w:val="22"/>
              </w:rPr>
              <w:t>Rusnac,</w:t>
            </w:r>
            <w:r>
              <w:rPr>
                <w:spacing w:val="-1"/>
                <w:sz w:val="22"/>
              </w:rPr>
              <w:t> </w:t>
            </w:r>
            <w:r>
              <w:rPr>
                <w:sz w:val="22"/>
              </w:rPr>
              <w:t>Vasile</w:t>
            </w:r>
            <w:r>
              <w:rPr>
                <w:spacing w:val="-9"/>
                <w:sz w:val="22"/>
              </w:rPr>
              <w:t> </w:t>
            </w:r>
            <w:r>
              <w:rPr>
                <w:sz w:val="22"/>
              </w:rPr>
              <w:t>Sacovici.</w:t>
            </w:r>
            <w:r>
              <w:rPr>
                <w:spacing w:val="-1"/>
                <w:sz w:val="22"/>
              </w:rPr>
              <w:t> </w:t>
            </w:r>
            <w:r>
              <w:rPr>
                <w:sz w:val="22"/>
              </w:rPr>
              <w:t>Globalistica.</w:t>
            </w:r>
            <w:r>
              <w:rPr>
                <w:spacing w:val="-1"/>
                <w:sz w:val="22"/>
              </w:rPr>
              <w:t> </w:t>
            </w:r>
            <w:r>
              <w:rPr>
                <w:sz w:val="22"/>
              </w:rPr>
              <w:t>Globalizarea și</w:t>
            </w:r>
            <w:r>
              <w:rPr>
                <w:spacing w:val="-5"/>
                <w:sz w:val="22"/>
              </w:rPr>
              <w:t> </w:t>
            </w:r>
            <w:r>
              <w:rPr>
                <w:sz w:val="22"/>
              </w:rPr>
              <w:t>integrarea,</w:t>
            </w:r>
            <w:r>
              <w:rPr>
                <w:spacing w:val="-5"/>
                <w:sz w:val="22"/>
              </w:rPr>
              <w:t> </w:t>
            </w:r>
            <w:r>
              <w:rPr>
                <w:sz w:val="22"/>
              </w:rPr>
              <w:t>problemele globale</w:t>
            </w:r>
            <w:r>
              <w:rPr>
                <w:spacing w:val="-9"/>
                <w:sz w:val="22"/>
              </w:rPr>
              <w:t> </w:t>
            </w:r>
            <w:r>
              <w:rPr>
                <w:sz w:val="22"/>
              </w:rPr>
              <w:t>ale contemporanietății, antiglobalismul. Chișinău, 2007.</w:t>
            </w:r>
          </w:p>
          <w:p>
            <w:pPr>
              <w:pStyle w:val="TableParagraph"/>
              <w:numPr>
                <w:ilvl w:val="0"/>
                <w:numId w:val="2"/>
              </w:numPr>
              <w:tabs>
                <w:tab w:pos="723" w:val="left" w:leader="none"/>
              </w:tabs>
              <w:spacing w:line="252" w:lineRule="exact" w:before="0" w:after="0"/>
              <w:ind w:left="723" w:right="0" w:hanging="359"/>
              <w:jc w:val="left"/>
              <w:rPr>
                <w:sz w:val="22"/>
              </w:rPr>
            </w:pPr>
            <w:r>
              <w:rPr>
                <w:sz w:val="22"/>
              </w:rPr>
              <w:t>Almond</w:t>
            </w:r>
            <w:r>
              <w:rPr>
                <w:spacing w:val="-9"/>
                <w:sz w:val="22"/>
              </w:rPr>
              <w:t> </w:t>
            </w:r>
            <w:r>
              <w:rPr>
                <w:sz w:val="22"/>
              </w:rPr>
              <w:t>G.</w:t>
            </w:r>
            <w:r>
              <w:rPr>
                <w:spacing w:val="-3"/>
                <w:sz w:val="22"/>
              </w:rPr>
              <w:t> </w:t>
            </w:r>
            <w:r>
              <w:rPr>
                <w:sz w:val="22"/>
              </w:rPr>
              <w:t>Politica</w:t>
            </w:r>
            <w:r>
              <w:rPr>
                <w:spacing w:val="-1"/>
                <w:sz w:val="22"/>
              </w:rPr>
              <w:t> </w:t>
            </w:r>
            <w:r>
              <w:rPr>
                <w:sz w:val="22"/>
              </w:rPr>
              <w:t>comparată</w:t>
            </w:r>
            <w:r>
              <w:rPr>
                <w:spacing w:val="-6"/>
                <w:sz w:val="22"/>
              </w:rPr>
              <w:t> </w:t>
            </w:r>
            <w:r>
              <w:rPr>
                <w:sz w:val="22"/>
              </w:rPr>
              <w:t>astăzi.</w:t>
            </w:r>
            <w:r>
              <w:rPr>
                <w:spacing w:val="-3"/>
                <w:sz w:val="22"/>
              </w:rPr>
              <w:t> </w:t>
            </w:r>
            <w:r>
              <w:rPr>
                <w:sz w:val="22"/>
              </w:rPr>
              <w:t>Iași:</w:t>
            </w:r>
            <w:r>
              <w:rPr>
                <w:spacing w:val="-8"/>
                <w:sz w:val="22"/>
              </w:rPr>
              <w:t> </w:t>
            </w:r>
            <w:r>
              <w:rPr>
                <w:sz w:val="22"/>
              </w:rPr>
              <w:t>Editura</w:t>
            </w:r>
            <w:r>
              <w:rPr>
                <w:spacing w:val="-6"/>
                <w:sz w:val="22"/>
              </w:rPr>
              <w:t> </w:t>
            </w:r>
            <w:r>
              <w:rPr>
                <w:sz w:val="22"/>
              </w:rPr>
              <w:t>Institutul</w:t>
            </w:r>
            <w:r>
              <w:rPr>
                <w:spacing w:val="-8"/>
                <w:sz w:val="22"/>
              </w:rPr>
              <w:t> </w:t>
            </w:r>
            <w:r>
              <w:rPr>
                <w:sz w:val="22"/>
              </w:rPr>
              <w:t>European,</w:t>
            </w:r>
            <w:r>
              <w:rPr>
                <w:spacing w:val="50"/>
                <w:sz w:val="22"/>
              </w:rPr>
              <w:t> </w:t>
            </w:r>
            <w:r>
              <w:rPr>
                <w:spacing w:val="-2"/>
                <w:sz w:val="22"/>
              </w:rPr>
              <w:t>2009.</w:t>
            </w:r>
          </w:p>
          <w:p>
            <w:pPr>
              <w:pStyle w:val="TableParagraph"/>
              <w:numPr>
                <w:ilvl w:val="0"/>
                <w:numId w:val="2"/>
              </w:numPr>
              <w:tabs>
                <w:tab w:pos="723" w:val="left" w:leader="none"/>
              </w:tabs>
              <w:spacing w:line="240" w:lineRule="auto" w:before="1" w:after="0"/>
              <w:ind w:left="723" w:right="0" w:hanging="359"/>
              <w:jc w:val="left"/>
              <w:rPr>
                <w:sz w:val="22"/>
              </w:rPr>
            </w:pPr>
            <w:r>
              <w:rPr>
                <w:sz w:val="22"/>
              </w:rPr>
              <w:t>Dogan</w:t>
            </w:r>
            <w:r>
              <w:rPr>
                <w:spacing w:val="-9"/>
                <w:sz w:val="22"/>
              </w:rPr>
              <w:t> </w:t>
            </w:r>
            <w:r>
              <w:rPr>
                <w:sz w:val="22"/>
              </w:rPr>
              <w:t>M.</w:t>
            </w:r>
            <w:r>
              <w:rPr>
                <w:spacing w:val="-1"/>
                <w:sz w:val="22"/>
              </w:rPr>
              <w:t> </w:t>
            </w:r>
            <w:r>
              <w:rPr>
                <w:sz w:val="22"/>
              </w:rPr>
              <w:t>Comparații</w:t>
            </w:r>
            <w:r>
              <w:rPr>
                <w:spacing w:val="-7"/>
                <w:sz w:val="22"/>
              </w:rPr>
              <w:t> </w:t>
            </w:r>
            <w:r>
              <w:rPr>
                <w:sz w:val="22"/>
              </w:rPr>
              <w:t>și</w:t>
            </w:r>
            <w:r>
              <w:rPr>
                <w:spacing w:val="-6"/>
                <w:sz w:val="22"/>
              </w:rPr>
              <w:t> </w:t>
            </w:r>
            <w:r>
              <w:rPr>
                <w:sz w:val="22"/>
              </w:rPr>
              <w:t>explicații</w:t>
            </w:r>
            <w:r>
              <w:rPr>
                <w:spacing w:val="-3"/>
                <w:sz w:val="22"/>
              </w:rPr>
              <w:t> </w:t>
            </w:r>
            <w:r>
              <w:rPr>
                <w:sz w:val="22"/>
              </w:rPr>
              <w:t>în</w:t>
            </w:r>
            <w:r>
              <w:rPr>
                <w:spacing w:val="-8"/>
                <w:sz w:val="22"/>
              </w:rPr>
              <w:t> </w:t>
            </w:r>
            <w:r>
              <w:rPr>
                <w:sz w:val="22"/>
              </w:rPr>
              <w:t>știința</w:t>
            </w:r>
            <w:r>
              <w:rPr>
                <w:spacing w:val="-1"/>
                <w:sz w:val="22"/>
              </w:rPr>
              <w:t> </w:t>
            </w:r>
            <w:r>
              <w:rPr>
                <w:sz w:val="22"/>
              </w:rPr>
              <w:t>politică</w:t>
            </w:r>
            <w:r>
              <w:rPr>
                <w:spacing w:val="-1"/>
                <w:sz w:val="22"/>
              </w:rPr>
              <w:t> </w:t>
            </w:r>
            <w:r>
              <w:rPr>
                <w:sz w:val="22"/>
              </w:rPr>
              <w:t>și</w:t>
            </w:r>
            <w:r>
              <w:rPr>
                <w:spacing w:val="-6"/>
                <w:sz w:val="22"/>
              </w:rPr>
              <w:t> </w:t>
            </w:r>
            <w:r>
              <w:rPr>
                <w:sz w:val="22"/>
              </w:rPr>
              <w:t>în</w:t>
            </w:r>
            <w:r>
              <w:rPr>
                <w:spacing w:val="-8"/>
                <w:sz w:val="22"/>
              </w:rPr>
              <w:t> </w:t>
            </w:r>
            <w:r>
              <w:rPr>
                <w:sz w:val="22"/>
              </w:rPr>
              <w:t>sociologie,</w:t>
            </w:r>
            <w:r>
              <w:rPr>
                <w:spacing w:val="-2"/>
                <w:sz w:val="22"/>
              </w:rPr>
              <w:t> </w:t>
            </w:r>
            <w:r>
              <w:rPr>
                <w:sz w:val="22"/>
              </w:rPr>
              <w:t>Iași:</w:t>
            </w:r>
            <w:r>
              <w:rPr>
                <w:spacing w:val="-7"/>
                <w:sz w:val="22"/>
              </w:rPr>
              <w:t> </w:t>
            </w:r>
            <w:r>
              <w:rPr>
                <w:sz w:val="22"/>
              </w:rPr>
              <w:t>Institutul</w:t>
            </w:r>
            <w:r>
              <w:rPr>
                <w:spacing w:val="-8"/>
                <w:sz w:val="22"/>
              </w:rPr>
              <w:t> </w:t>
            </w:r>
            <w:r>
              <w:rPr>
                <w:sz w:val="22"/>
              </w:rPr>
              <w:t>European,</w:t>
            </w:r>
            <w:r>
              <w:rPr>
                <w:spacing w:val="-1"/>
                <w:sz w:val="22"/>
              </w:rPr>
              <w:t> </w:t>
            </w:r>
            <w:r>
              <w:rPr>
                <w:spacing w:val="-2"/>
                <w:sz w:val="22"/>
              </w:rPr>
              <w:t>2010.</w:t>
            </w:r>
          </w:p>
          <w:p>
            <w:pPr>
              <w:pStyle w:val="TableParagraph"/>
              <w:numPr>
                <w:ilvl w:val="0"/>
                <w:numId w:val="2"/>
              </w:numPr>
              <w:tabs>
                <w:tab w:pos="724" w:val="left" w:leader="none"/>
              </w:tabs>
              <w:spacing w:line="237" w:lineRule="auto" w:before="4" w:after="0"/>
              <w:ind w:left="724" w:right="-15" w:hanging="360"/>
              <w:jc w:val="left"/>
              <w:rPr>
                <w:sz w:val="22"/>
              </w:rPr>
            </w:pPr>
            <w:r>
              <w:rPr>
                <w:sz w:val="22"/>
              </w:rPr>
              <w:t>Pîrvulescu</w:t>
            </w:r>
            <w:r>
              <w:rPr>
                <w:spacing w:val="40"/>
                <w:sz w:val="22"/>
              </w:rPr>
              <w:t> </w:t>
            </w:r>
            <w:r>
              <w:rPr>
                <w:sz w:val="22"/>
              </w:rPr>
              <w:t>C.</w:t>
            </w:r>
            <w:r>
              <w:rPr>
                <w:spacing w:val="40"/>
                <w:sz w:val="22"/>
              </w:rPr>
              <w:t> </w:t>
            </w:r>
            <w:r>
              <w:rPr>
                <w:sz w:val="22"/>
              </w:rPr>
              <w:t>Politica</w:t>
            </w:r>
            <w:r>
              <w:rPr>
                <w:spacing w:val="40"/>
                <w:sz w:val="22"/>
              </w:rPr>
              <w:t> </w:t>
            </w:r>
            <w:r>
              <w:rPr>
                <w:sz w:val="22"/>
              </w:rPr>
              <w:t>comparată.</w:t>
            </w:r>
            <w:r>
              <w:rPr>
                <w:spacing w:val="40"/>
                <w:sz w:val="22"/>
              </w:rPr>
              <w:t> </w:t>
            </w:r>
            <w:r>
              <w:rPr>
                <w:sz w:val="22"/>
              </w:rPr>
              <w:t>Note</w:t>
            </w:r>
            <w:r>
              <w:rPr>
                <w:spacing w:val="40"/>
                <w:sz w:val="22"/>
              </w:rPr>
              <w:t> </w:t>
            </w:r>
            <w:r>
              <w:rPr>
                <w:sz w:val="22"/>
              </w:rPr>
              <w:t>de</w:t>
            </w:r>
            <w:r>
              <w:rPr>
                <w:spacing w:val="40"/>
                <w:sz w:val="22"/>
              </w:rPr>
              <w:t> </w:t>
            </w:r>
            <w:r>
              <w:rPr>
                <w:sz w:val="22"/>
              </w:rPr>
              <w:t>curs.</w:t>
            </w:r>
            <w:r>
              <w:rPr>
                <w:spacing w:val="40"/>
                <w:sz w:val="22"/>
              </w:rPr>
              <w:t> </w:t>
            </w:r>
            <w:hyperlink r:id="rId6">
              <w:r>
                <w:rPr>
                  <w:sz w:val="22"/>
                </w:rPr>
                <w:t>http://www.scribd.com/doc/25048447/Politica-</w:t>
              </w:r>
            </w:hyperlink>
            <w:r>
              <w:rPr>
                <w:sz w:val="22"/>
              </w:rPr>
              <w:t> </w:t>
            </w:r>
            <w:r>
              <w:rPr>
                <w:spacing w:val="-2"/>
                <w:sz w:val="22"/>
              </w:rPr>
              <w:t>Comparata</w:t>
            </w:r>
          </w:p>
          <w:p>
            <w:pPr>
              <w:pStyle w:val="TableParagraph"/>
              <w:numPr>
                <w:ilvl w:val="0"/>
                <w:numId w:val="2"/>
              </w:numPr>
              <w:tabs>
                <w:tab w:pos="724" w:val="left" w:leader="none"/>
              </w:tabs>
              <w:spacing w:line="240" w:lineRule="auto" w:before="1" w:after="0"/>
              <w:ind w:left="724" w:right="14" w:hanging="360"/>
              <w:jc w:val="left"/>
              <w:rPr>
                <w:sz w:val="22"/>
              </w:rPr>
            </w:pPr>
            <w:r>
              <w:rPr>
                <w:sz w:val="22"/>
              </w:rPr>
              <w:t>Radu A. Sisteme politice contemporane. Forme de guvernare în 29 de state. București, C.H. Beck. </w:t>
            </w:r>
            <w:r>
              <w:rPr>
                <w:spacing w:val="-2"/>
                <w:sz w:val="22"/>
              </w:rPr>
              <w:t>2010.</w:t>
            </w:r>
          </w:p>
          <w:p>
            <w:pPr>
              <w:pStyle w:val="TableParagraph"/>
              <w:numPr>
                <w:ilvl w:val="0"/>
                <w:numId w:val="2"/>
              </w:numPr>
              <w:tabs>
                <w:tab w:pos="724" w:val="left" w:leader="none"/>
              </w:tabs>
              <w:spacing w:line="250" w:lineRule="exact" w:before="0" w:after="0"/>
              <w:ind w:left="724" w:right="7" w:hanging="360"/>
              <w:jc w:val="left"/>
              <w:rPr>
                <w:sz w:val="22"/>
              </w:rPr>
            </w:pPr>
            <w:r>
              <w:rPr>
                <w:sz w:val="22"/>
              </w:rPr>
              <w:t>Eastern</w:t>
            </w:r>
            <w:r>
              <w:rPr>
                <w:spacing w:val="-14"/>
                <w:sz w:val="22"/>
              </w:rPr>
              <w:t> </w:t>
            </w:r>
            <w:r>
              <w:rPr>
                <w:sz w:val="22"/>
              </w:rPr>
              <w:t>Europe:</w:t>
            </w:r>
            <w:r>
              <w:rPr>
                <w:spacing w:val="-14"/>
                <w:sz w:val="22"/>
              </w:rPr>
              <w:t> </w:t>
            </w:r>
            <w:r>
              <w:rPr>
                <w:sz w:val="22"/>
              </w:rPr>
              <w:t>Regional</w:t>
            </w:r>
            <w:r>
              <w:rPr>
                <w:spacing w:val="-14"/>
                <w:sz w:val="22"/>
              </w:rPr>
              <w:t> </w:t>
            </w:r>
            <w:r>
              <w:rPr>
                <w:sz w:val="22"/>
              </w:rPr>
              <w:t>Studies</w:t>
            </w:r>
            <w:r>
              <w:rPr>
                <w:spacing w:val="-12"/>
                <w:sz w:val="22"/>
              </w:rPr>
              <w:t> </w:t>
            </w:r>
            <w:r>
              <w:rPr>
                <w:sz w:val="22"/>
              </w:rPr>
              <w:t>/</w:t>
            </w:r>
            <w:r>
              <w:rPr>
                <w:spacing w:val="-10"/>
                <w:sz w:val="22"/>
              </w:rPr>
              <w:t> </w:t>
            </w:r>
            <w:r>
              <w:rPr>
                <w:sz w:val="22"/>
              </w:rPr>
              <w:t>Moldova</w:t>
            </w:r>
            <w:r>
              <w:rPr>
                <w:spacing w:val="-8"/>
                <w:sz w:val="22"/>
              </w:rPr>
              <w:t> </w:t>
            </w:r>
            <w:r>
              <w:rPr>
                <w:sz w:val="22"/>
              </w:rPr>
              <w:t>State</w:t>
            </w:r>
            <w:r>
              <w:rPr>
                <w:spacing w:val="-14"/>
                <w:sz w:val="22"/>
              </w:rPr>
              <w:t> </w:t>
            </w:r>
            <w:r>
              <w:rPr>
                <w:sz w:val="22"/>
              </w:rPr>
              <w:t>Univ.,</w:t>
            </w:r>
            <w:r>
              <w:rPr>
                <w:spacing w:val="-13"/>
                <w:sz w:val="22"/>
              </w:rPr>
              <w:t> </w:t>
            </w:r>
            <w:r>
              <w:rPr>
                <w:sz w:val="22"/>
              </w:rPr>
              <w:t>Fac.</w:t>
            </w:r>
            <w:r>
              <w:rPr>
                <w:spacing w:val="-8"/>
                <w:sz w:val="22"/>
              </w:rPr>
              <w:t> </w:t>
            </w:r>
            <w:r>
              <w:rPr>
                <w:sz w:val="22"/>
              </w:rPr>
              <w:t>of</w:t>
            </w:r>
            <w:r>
              <w:rPr>
                <w:spacing w:val="-12"/>
                <w:sz w:val="22"/>
              </w:rPr>
              <w:t> </w:t>
            </w:r>
            <w:r>
              <w:rPr>
                <w:sz w:val="22"/>
              </w:rPr>
              <w:t>Intern.</w:t>
            </w:r>
            <w:r>
              <w:rPr>
                <w:spacing w:val="-8"/>
                <w:sz w:val="22"/>
              </w:rPr>
              <w:t> </w:t>
            </w:r>
            <w:r>
              <w:rPr>
                <w:sz w:val="22"/>
              </w:rPr>
              <w:t>Relations,</w:t>
            </w:r>
            <w:r>
              <w:rPr>
                <w:spacing w:val="-8"/>
                <w:sz w:val="22"/>
              </w:rPr>
              <w:t> </w:t>
            </w:r>
            <w:r>
              <w:rPr>
                <w:sz w:val="22"/>
              </w:rPr>
              <w:t>Polit.</w:t>
            </w:r>
            <w:r>
              <w:rPr>
                <w:spacing w:val="-8"/>
                <w:sz w:val="22"/>
              </w:rPr>
              <w:t> </w:t>
            </w:r>
            <w:r>
              <w:rPr>
                <w:sz w:val="22"/>
              </w:rPr>
              <w:t>and</w:t>
            </w:r>
            <w:r>
              <w:rPr>
                <w:spacing w:val="-11"/>
                <w:sz w:val="22"/>
              </w:rPr>
              <w:t> </w:t>
            </w:r>
            <w:r>
              <w:rPr>
                <w:sz w:val="22"/>
              </w:rPr>
              <w:t>Admin. Sciences,</w:t>
            </w:r>
            <w:r>
              <w:rPr>
                <w:spacing w:val="-3"/>
                <w:sz w:val="22"/>
              </w:rPr>
              <w:t> </w:t>
            </w:r>
            <w:r>
              <w:rPr>
                <w:sz w:val="22"/>
              </w:rPr>
              <w:t>Ivane</w:t>
            </w:r>
            <w:r>
              <w:rPr>
                <w:spacing w:val="-13"/>
                <w:sz w:val="22"/>
              </w:rPr>
              <w:t> </w:t>
            </w:r>
            <w:r>
              <w:rPr>
                <w:sz w:val="22"/>
              </w:rPr>
              <w:t>Javakhishvili</w:t>
            </w:r>
            <w:r>
              <w:rPr>
                <w:spacing w:val="-9"/>
                <w:sz w:val="22"/>
              </w:rPr>
              <w:t> </w:t>
            </w:r>
            <w:r>
              <w:rPr>
                <w:sz w:val="22"/>
              </w:rPr>
              <w:t>Tbilisi</w:t>
            </w:r>
            <w:r>
              <w:rPr>
                <w:spacing w:val="-9"/>
                <w:sz w:val="22"/>
              </w:rPr>
              <w:t> </w:t>
            </w:r>
            <w:r>
              <w:rPr>
                <w:sz w:val="22"/>
              </w:rPr>
              <w:t>State</w:t>
            </w:r>
            <w:r>
              <w:rPr>
                <w:spacing w:val="-13"/>
                <w:sz w:val="22"/>
              </w:rPr>
              <w:t> </w:t>
            </w:r>
            <w:r>
              <w:rPr>
                <w:sz w:val="22"/>
              </w:rPr>
              <w:t>Univ.,</w:t>
            </w:r>
            <w:r>
              <w:rPr>
                <w:spacing w:val="-4"/>
                <w:sz w:val="22"/>
              </w:rPr>
              <w:t> </w:t>
            </w:r>
            <w:r>
              <w:rPr>
                <w:sz w:val="22"/>
              </w:rPr>
              <w:t>Fac.</w:t>
            </w:r>
            <w:r>
              <w:rPr>
                <w:spacing w:val="-4"/>
                <w:sz w:val="22"/>
              </w:rPr>
              <w:t> </w:t>
            </w:r>
            <w:r>
              <w:rPr>
                <w:sz w:val="22"/>
              </w:rPr>
              <w:t>of</w:t>
            </w:r>
            <w:r>
              <w:rPr>
                <w:spacing w:val="-7"/>
                <w:sz w:val="22"/>
              </w:rPr>
              <w:t> </w:t>
            </w:r>
            <w:r>
              <w:rPr>
                <w:sz w:val="22"/>
              </w:rPr>
              <w:t>Soc.</w:t>
            </w:r>
            <w:r>
              <w:rPr>
                <w:spacing w:val="-4"/>
                <w:sz w:val="22"/>
              </w:rPr>
              <w:t> </w:t>
            </w:r>
            <w:r>
              <w:rPr>
                <w:sz w:val="22"/>
              </w:rPr>
              <w:t>and</w:t>
            </w:r>
            <w:r>
              <w:rPr>
                <w:spacing w:val="-11"/>
                <w:sz w:val="22"/>
              </w:rPr>
              <w:t> </w:t>
            </w:r>
            <w:r>
              <w:rPr>
                <w:sz w:val="22"/>
              </w:rPr>
              <w:t>Polit.</w:t>
            </w:r>
            <w:r>
              <w:rPr>
                <w:spacing w:val="-4"/>
                <w:sz w:val="22"/>
              </w:rPr>
              <w:t> </w:t>
            </w:r>
            <w:r>
              <w:rPr>
                <w:sz w:val="22"/>
              </w:rPr>
              <w:t>Sciences,</w:t>
            </w:r>
            <w:r>
              <w:rPr>
                <w:spacing w:val="-3"/>
                <w:sz w:val="22"/>
              </w:rPr>
              <w:t> </w:t>
            </w:r>
            <w:r>
              <w:rPr>
                <w:sz w:val="22"/>
              </w:rPr>
              <w:t>Diplomatic</w:t>
            </w:r>
            <w:r>
              <w:rPr>
                <w:spacing w:val="-3"/>
                <w:sz w:val="22"/>
              </w:rPr>
              <w:t> </w:t>
            </w:r>
            <w:r>
              <w:rPr>
                <w:sz w:val="22"/>
              </w:rPr>
              <w:t>Acad.</w:t>
            </w:r>
          </w:p>
        </w:tc>
      </w:tr>
    </w:tbl>
    <w:p>
      <w:pPr>
        <w:pStyle w:val="TableParagraph"/>
        <w:spacing w:after="0" w:line="250" w:lineRule="exact"/>
        <w:jc w:val="left"/>
        <w:rPr>
          <w:sz w:val="22"/>
        </w:rPr>
        <w:sectPr>
          <w:type w:val="continuous"/>
          <w:pgSz w:w="11910" w:h="16840"/>
          <w:pgMar w:top="460" w:bottom="280" w:left="566" w:right="566"/>
        </w:sectPr>
      </w:pPr>
    </w:p>
    <w:p>
      <w:pPr>
        <w:pStyle w:val="BodyText"/>
        <w:ind w:left="39" w:firstLine="0"/>
        <w:jc w:val="left"/>
        <w:rPr>
          <w:sz w:val="20"/>
        </w:rPr>
      </w:pPr>
      <w:r>
        <w:rPr>
          <w:sz w:val="20"/>
        </w:rPr>
        <mc:AlternateContent>
          <mc:Choice Requires="wps">
            <w:drawing>
              <wp:anchor distT="0" distB="0" distL="0" distR="0" allowOverlap="1" layoutInCell="1" locked="0" behindDoc="0" simplePos="0" relativeHeight="15729152">
                <wp:simplePos x="0" y="0"/>
                <wp:positionH relativeFrom="page">
                  <wp:posOffset>1076248</wp:posOffset>
                </wp:positionH>
                <wp:positionV relativeFrom="page">
                  <wp:posOffset>307847</wp:posOffset>
                </wp:positionV>
                <wp:extent cx="6043930" cy="27628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43930" cy="2762885"/>
                        </a:xfrm>
                        <a:prstGeom prst="rect">
                          <a:avLst/>
                        </a:prstGeom>
                        <a:ln w="6096">
                          <a:solidFill>
                            <a:srgbClr val="000000"/>
                          </a:solidFill>
                          <a:prstDash val="solid"/>
                        </a:ln>
                      </wps:spPr>
                      <wps:txbx>
                        <w:txbxContent>
                          <w:p>
                            <w:pPr>
                              <w:pStyle w:val="BodyText"/>
                              <w:spacing w:line="237" w:lineRule="auto"/>
                              <w:ind w:right="1" w:firstLine="0"/>
                            </w:pPr>
                            <w:r>
                              <w:rPr/>
                              <w:t>of</w:t>
                            </w:r>
                            <w:r>
                              <w:rPr>
                                <w:spacing w:val="-14"/>
                              </w:rPr>
                              <w:t> </w:t>
                            </w:r>
                            <w:r>
                              <w:rPr/>
                              <w:t>Ukraine;</w:t>
                            </w:r>
                            <w:r>
                              <w:rPr>
                                <w:spacing w:val="-14"/>
                              </w:rPr>
                              <w:t> </w:t>
                            </w:r>
                            <w:r>
                              <w:rPr/>
                              <w:t>ed.</w:t>
                            </w:r>
                            <w:r>
                              <w:rPr>
                                <w:spacing w:val="-14"/>
                              </w:rPr>
                              <w:t> </w:t>
                            </w:r>
                            <w:r>
                              <w:rPr/>
                              <w:t>board.:</w:t>
                            </w:r>
                            <w:r>
                              <w:rPr>
                                <w:spacing w:val="-13"/>
                              </w:rPr>
                              <w:t> </w:t>
                            </w:r>
                            <w:r>
                              <w:rPr/>
                              <w:t>Teosa</w:t>
                            </w:r>
                            <w:r>
                              <w:rPr>
                                <w:spacing w:val="-14"/>
                              </w:rPr>
                              <w:t> </w:t>
                            </w:r>
                            <w:r>
                              <w:rPr/>
                              <w:t>Valentina</w:t>
                            </w:r>
                            <w:r>
                              <w:rPr>
                                <w:spacing w:val="-14"/>
                              </w:rPr>
                              <w:t> </w:t>
                            </w:r>
                            <w:r>
                              <w:rPr/>
                              <w:t>[et</w:t>
                            </w:r>
                            <w:r>
                              <w:rPr>
                                <w:spacing w:val="-14"/>
                              </w:rPr>
                              <w:t> </w:t>
                            </w:r>
                            <w:r>
                              <w:rPr/>
                              <w:t>al.];</w:t>
                            </w:r>
                            <w:r>
                              <w:rPr>
                                <w:spacing w:val="-13"/>
                              </w:rPr>
                              <w:t> </w:t>
                            </w:r>
                            <w:r>
                              <w:rPr/>
                              <w:t>board</w:t>
                            </w:r>
                            <w:r>
                              <w:rPr>
                                <w:spacing w:val="-14"/>
                              </w:rPr>
                              <w:t> </w:t>
                            </w:r>
                            <w:r>
                              <w:rPr/>
                              <w:t>members:</w:t>
                            </w:r>
                            <w:r>
                              <w:rPr>
                                <w:spacing w:val="-14"/>
                              </w:rPr>
                              <w:t> </w:t>
                            </w:r>
                            <w:r>
                              <w:rPr/>
                              <w:t>Bogdanova</w:t>
                            </w:r>
                            <w:r>
                              <w:rPr>
                                <w:spacing w:val="-14"/>
                              </w:rPr>
                              <w:t> </w:t>
                            </w:r>
                            <w:r>
                              <w:rPr/>
                              <w:t>Olga</w:t>
                            </w:r>
                            <w:r>
                              <w:rPr>
                                <w:spacing w:val="-13"/>
                              </w:rPr>
                              <w:t> </w:t>
                            </w:r>
                            <w:r>
                              <w:rPr/>
                              <w:t>[et</w:t>
                            </w:r>
                            <w:r>
                              <w:rPr>
                                <w:spacing w:val="-14"/>
                              </w:rPr>
                              <w:t> </w:t>
                            </w:r>
                            <w:r>
                              <w:rPr/>
                              <w:t>al.].</w:t>
                            </w:r>
                            <w:r>
                              <w:rPr>
                                <w:spacing w:val="-4"/>
                              </w:rPr>
                              <w:t> </w:t>
                            </w:r>
                            <w:r>
                              <w:rPr/>
                              <w:t>–</w:t>
                            </w:r>
                            <w:r>
                              <w:rPr>
                                <w:spacing w:val="-14"/>
                              </w:rPr>
                              <w:t> </w:t>
                            </w:r>
                            <w:r>
                              <w:rPr/>
                              <w:t>Chişinău: USM: TSU, 2017. – 355 p.:</w:t>
                            </w:r>
                            <w:r>
                              <w:rPr>
                                <w:spacing w:val="40"/>
                              </w:rPr>
                              <w:t> </w:t>
                            </w:r>
                            <w:r>
                              <w:rPr/>
                              <w:t>ISBN 978-9975-71-954-4</w:t>
                            </w:r>
                          </w:p>
                          <w:p>
                            <w:pPr>
                              <w:pStyle w:val="BodyText"/>
                              <w:numPr>
                                <w:ilvl w:val="0"/>
                                <w:numId w:val="3"/>
                              </w:numPr>
                              <w:tabs>
                                <w:tab w:pos="720" w:val="left" w:leader="none"/>
                              </w:tabs>
                              <w:spacing w:line="240" w:lineRule="auto" w:before="0" w:after="0"/>
                              <w:ind w:left="720" w:right="0" w:hanging="360"/>
                              <w:jc w:val="both"/>
                            </w:pPr>
                            <w:r>
                              <w:rPr/>
                              <w:t>Georgia and Moldova: Experience of Building Democratic State. International Scientific Conference. Tbilisi, 26 February 2016. Coordonators:</w:t>
                            </w:r>
                            <w:r>
                              <w:rPr>
                                <w:spacing w:val="40"/>
                              </w:rPr>
                              <w:t> </w:t>
                            </w:r>
                            <w:r>
                              <w:rPr/>
                              <w:t>Malkhaz Matsaberidze, Valentina Teosa, Rodica Svetlicinai. Tbilisi, TSU, 2016, 197 p.</w:t>
                            </w:r>
                            <w:r>
                              <w:rPr>
                                <w:spacing w:val="40"/>
                              </w:rPr>
                              <w:t> </w:t>
                            </w:r>
                            <w:r>
                              <w:rPr/>
                              <w:t>ISBN</w:t>
                            </w:r>
                            <w:r>
                              <w:rPr>
                                <w:spacing w:val="40"/>
                              </w:rPr>
                              <w:t>  </w:t>
                            </w:r>
                            <w:r>
                              <w:rPr/>
                              <w:t>978 – 9941 – 0 – 8985 - 5</w:t>
                            </w:r>
                          </w:p>
                          <w:p>
                            <w:pPr>
                              <w:pStyle w:val="BodyText"/>
                              <w:numPr>
                                <w:ilvl w:val="0"/>
                                <w:numId w:val="3"/>
                              </w:numPr>
                              <w:tabs>
                                <w:tab w:pos="720" w:val="left" w:leader="none"/>
                              </w:tabs>
                              <w:spacing w:line="240" w:lineRule="auto" w:before="0" w:after="0"/>
                              <w:ind w:left="720" w:right="-15" w:hanging="360"/>
                              <w:jc w:val="both"/>
                            </w:pPr>
                            <w:r>
                              <w:rPr>
                                <w:spacing w:val="-2"/>
                              </w:rPr>
                              <w:t>Post-soviet</w:t>
                            </w:r>
                            <w:r>
                              <w:rPr>
                                <w:spacing w:val="-14"/>
                              </w:rPr>
                              <w:t> </w:t>
                            </w:r>
                            <w:r>
                              <w:rPr>
                                <w:spacing w:val="-2"/>
                              </w:rPr>
                              <w:t>states</w:t>
                            </w:r>
                            <w:r>
                              <w:rPr>
                                <w:spacing w:val="-12"/>
                              </w:rPr>
                              <w:t> </w:t>
                            </w:r>
                            <w:r>
                              <w:rPr>
                                <w:spacing w:val="-2"/>
                              </w:rPr>
                              <w:t>between</w:t>
                            </w:r>
                            <w:r>
                              <w:rPr>
                                <w:spacing w:val="-12"/>
                              </w:rPr>
                              <w:t> </w:t>
                            </w:r>
                            <w:r>
                              <w:rPr>
                                <w:spacing w:val="-2"/>
                              </w:rPr>
                              <w:t>Russia</w:t>
                            </w:r>
                            <w:r>
                              <w:rPr>
                                <w:spacing w:val="-11"/>
                              </w:rPr>
                              <w:t> </w:t>
                            </w:r>
                            <w:r>
                              <w:rPr>
                                <w:spacing w:val="-2"/>
                              </w:rPr>
                              <w:t>and</w:t>
                            </w:r>
                            <w:r>
                              <w:rPr>
                                <w:spacing w:val="-12"/>
                              </w:rPr>
                              <w:t> </w:t>
                            </w:r>
                            <w:r>
                              <w:rPr>
                                <w:spacing w:val="-2"/>
                              </w:rPr>
                              <w:t>the</w:t>
                            </w:r>
                            <w:r>
                              <w:rPr>
                                <w:spacing w:val="-12"/>
                              </w:rPr>
                              <w:t> </w:t>
                            </w:r>
                            <w:r>
                              <w:rPr>
                                <w:spacing w:val="-2"/>
                              </w:rPr>
                              <w:t>EU:</w:t>
                            </w:r>
                            <w:r>
                              <w:rPr>
                                <w:spacing w:val="-12"/>
                              </w:rPr>
                              <w:t> </w:t>
                            </w:r>
                            <w:r>
                              <w:rPr>
                                <w:spacing w:val="-2"/>
                              </w:rPr>
                              <w:t>analysing</w:t>
                            </w:r>
                            <w:r>
                              <w:rPr>
                                <w:spacing w:val="-11"/>
                              </w:rPr>
                              <w:t> </w:t>
                            </w:r>
                            <w:r>
                              <w:rPr>
                                <w:spacing w:val="-2"/>
                              </w:rPr>
                              <w:t>special</w:t>
                            </w:r>
                            <w:r>
                              <w:rPr>
                                <w:spacing w:val="-12"/>
                              </w:rPr>
                              <w:t> </w:t>
                            </w:r>
                            <w:r>
                              <w:rPr>
                                <w:spacing w:val="-2"/>
                              </w:rPr>
                              <w:t>circumstances</w:t>
                            </w:r>
                            <w:r>
                              <w:rPr>
                                <w:spacing w:val="-12"/>
                              </w:rPr>
                              <w:t> </w:t>
                            </w:r>
                            <w:r>
                              <w:rPr>
                                <w:spacing w:val="-2"/>
                              </w:rPr>
                              <w:t>and</w:t>
                            </w:r>
                            <w:r>
                              <w:rPr>
                                <w:spacing w:val="-12"/>
                              </w:rPr>
                              <w:t> </w:t>
                            </w:r>
                            <w:r>
                              <w:rPr>
                                <w:spacing w:val="-2"/>
                              </w:rPr>
                              <w:t>political</w:t>
                            </w:r>
                            <w:r>
                              <w:rPr>
                                <w:spacing w:val="-11"/>
                              </w:rPr>
                              <w:t> </w:t>
                            </w:r>
                            <w:r>
                              <w:rPr>
                                <w:spacing w:val="-2"/>
                              </w:rPr>
                              <w:t>tendencies, </w:t>
                            </w:r>
                            <w:r>
                              <w:rPr>
                                <w:spacing w:val="-4"/>
                              </w:rPr>
                              <w:t>conferinţa ştiinţifică internaţională (2016 ; Chişinău).= "Ţările</w:t>
                            </w:r>
                            <w:r>
                              <w:rPr>
                                <w:spacing w:val="-6"/>
                              </w:rPr>
                              <w:t> </w:t>
                            </w:r>
                            <w:r>
                              <w:rPr>
                                <w:spacing w:val="-4"/>
                              </w:rPr>
                              <w:t>post-sovietice între UE şi</w:t>
                            </w:r>
                            <w:r>
                              <w:rPr>
                                <w:spacing w:val="-7"/>
                              </w:rPr>
                              <w:t> </w:t>
                            </w:r>
                            <w:r>
                              <w:rPr>
                                <w:spacing w:val="-4"/>
                              </w:rPr>
                              <w:t>Federaţia Rusă </w:t>
                            </w:r>
                            <w:r>
                              <w:rPr/>
                              <w:t>– analiza circumstanţelor specifice şi tendinţelor politice": Conferinţa ştiinţifică internaţională, 27 September,</w:t>
                            </w:r>
                            <w:r>
                              <w:rPr>
                                <w:spacing w:val="-1"/>
                              </w:rPr>
                              <w:t> </w:t>
                            </w:r>
                            <w:r>
                              <w:rPr/>
                              <w:t>2016</w:t>
                            </w:r>
                            <w:r>
                              <w:rPr>
                                <w:spacing w:val="-3"/>
                              </w:rPr>
                              <w:t> </w:t>
                            </w:r>
                            <w:r>
                              <w:rPr/>
                              <w:t>/</w:t>
                            </w:r>
                            <w:r>
                              <w:rPr>
                                <w:spacing w:val="-2"/>
                              </w:rPr>
                              <w:t> </w:t>
                            </w:r>
                            <w:r>
                              <w:rPr/>
                              <w:t>coord.:</w:t>
                            </w:r>
                            <w:r>
                              <w:rPr>
                                <w:spacing w:val="-7"/>
                              </w:rPr>
                              <w:t> </w:t>
                            </w:r>
                            <w:r>
                              <w:rPr/>
                              <w:t>Valentina Teosa [et</w:t>
                            </w:r>
                            <w:r>
                              <w:rPr>
                                <w:spacing w:val="-6"/>
                              </w:rPr>
                              <w:t> </w:t>
                            </w:r>
                            <w:r>
                              <w:rPr/>
                              <w:t>al.]. –</w:t>
                            </w:r>
                            <w:r>
                              <w:rPr>
                                <w:spacing w:val="-7"/>
                              </w:rPr>
                              <w:t> </w:t>
                            </w:r>
                            <w:r>
                              <w:rPr/>
                              <w:t>Chişinău</w:t>
                            </w:r>
                            <w:r>
                              <w:rPr>
                                <w:spacing w:val="-3"/>
                              </w:rPr>
                              <w:t> </w:t>
                            </w:r>
                            <w:r>
                              <w:rPr/>
                              <w:t>:</w:t>
                            </w:r>
                            <w:r>
                              <w:rPr>
                                <w:spacing w:val="-11"/>
                              </w:rPr>
                              <w:t> </w:t>
                            </w:r>
                            <w:r>
                              <w:rPr/>
                              <w:t>CEP</w:t>
                            </w:r>
                            <w:r>
                              <w:rPr>
                                <w:spacing w:val="-1"/>
                              </w:rPr>
                              <w:t> </w:t>
                            </w:r>
                            <w:r>
                              <w:rPr/>
                              <w:t>USM,</w:t>
                            </w:r>
                            <w:r>
                              <w:rPr>
                                <w:spacing w:val="-1"/>
                              </w:rPr>
                              <w:t> </w:t>
                            </w:r>
                            <w:r>
                              <w:rPr/>
                              <w:t>2016. –</w:t>
                            </w:r>
                            <w:r>
                              <w:rPr>
                                <w:spacing w:val="-7"/>
                              </w:rPr>
                              <w:t> </w:t>
                            </w:r>
                            <w:r>
                              <w:rPr/>
                              <w:t>550</w:t>
                            </w:r>
                            <w:r>
                              <w:rPr>
                                <w:spacing w:val="-3"/>
                              </w:rPr>
                              <w:t> </w:t>
                            </w:r>
                            <w:r>
                              <w:rPr/>
                              <w:t>p.</w:t>
                            </w:r>
                          </w:p>
                          <w:p>
                            <w:pPr>
                              <w:pStyle w:val="BodyText"/>
                              <w:numPr>
                                <w:ilvl w:val="0"/>
                                <w:numId w:val="3"/>
                              </w:numPr>
                              <w:tabs>
                                <w:tab w:pos="720" w:val="left" w:leader="none"/>
                              </w:tabs>
                              <w:spacing w:line="240" w:lineRule="auto" w:before="0" w:after="0"/>
                              <w:ind w:left="720" w:right="0" w:hanging="360"/>
                              <w:jc w:val="both"/>
                            </w:pPr>
                            <w:r>
                              <w:rPr/>
                              <w:t>Relaţiile internaţionale în curriculumul universitar: bazele teoretico-metodologice = International relations in university curricula: theoretical and methodological fundamentals / Univ. de Stat din Moldova</w:t>
                            </w:r>
                            <w:r>
                              <w:rPr>
                                <w:spacing w:val="-5"/>
                              </w:rPr>
                              <w:t> </w:t>
                            </w:r>
                            <w:r>
                              <w:rPr/>
                              <w:t>;</w:t>
                            </w:r>
                            <w:r>
                              <w:rPr>
                                <w:spacing w:val="-7"/>
                              </w:rPr>
                              <w:t> </w:t>
                            </w:r>
                            <w:r>
                              <w:rPr/>
                              <w:t>coord.:</w:t>
                            </w:r>
                            <w:r>
                              <w:rPr>
                                <w:spacing w:val="-7"/>
                              </w:rPr>
                              <w:t> </w:t>
                            </w:r>
                            <w:r>
                              <w:rPr/>
                              <w:t>Valentina</w:t>
                            </w:r>
                            <w:r>
                              <w:rPr>
                                <w:spacing w:val="-5"/>
                              </w:rPr>
                              <w:t> </w:t>
                            </w:r>
                            <w:r>
                              <w:rPr/>
                              <w:t>Teosa</w:t>
                            </w:r>
                            <w:r>
                              <w:rPr>
                                <w:spacing w:val="-5"/>
                              </w:rPr>
                              <w:t> </w:t>
                            </w:r>
                            <w:r>
                              <w:rPr/>
                              <w:t>[et</w:t>
                            </w:r>
                            <w:r>
                              <w:rPr>
                                <w:spacing w:val="-7"/>
                              </w:rPr>
                              <w:t> </w:t>
                            </w:r>
                            <w:r>
                              <w:rPr/>
                              <w:t>al.]. –</w:t>
                            </w:r>
                            <w:r>
                              <w:rPr>
                                <w:spacing w:val="-11"/>
                              </w:rPr>
                              <w:t> </w:t>
                            </w:r>
                            <w:r>
                              <w:rPr/>
                              <w:t>Chişinău</w:t>
                            </w:r>
                            <w:r>
                              <w:rPr>
                                <w:spacing w:val="-8"/>
                              </w:rPr>
                              <w:t> </w:t>
                            </w:r>
                            <w:r>
                              <w:rPr/>
                              <w:t>:</w:t>
                            </w:r>
                            <w:r>
                              <w:rPr>
                                <w:spacing w:val="-10"/>
                              </w:rPr>
                              <w:t> </w:t>
                            </w:r>
                            <w:r>
                              <w:rPr/>
                              <w:t>CEP</w:t>
                            </w:r>
                            <w:r>
                              <w:rPr>
                                <w:spacing w:val="-6"/>
                              </w:rPr>
                              <w:t> </w:t>
                            </w:r>
                            <w:r>
                              <w:rPr/>
                              <w:t>USM,</w:t>
                            </w:r>
                            <w:r>
                              <w:rPr>
                                <w:spacing w:val="-6"/>
                              </w:rPr>
                              <w:t> </w:t>
                            </w:r>
                            <w:r>
                              <w:rPr/>
                              <w:t>2016.</w:t>
                            </w:r>
                            <w:r>
                              <w:rPr>
                                <w:spacing w:val="-2"/>
                              </w:rPr>
                              <w:t> </w:t>
                            </w:r>
                            <w:r>
                              <w:rPr/>
                              <w:t>–</w:t>
                            </w:r>
                            <w:r>
                              <w:rPr>
                                <w:spacing w:val="-11"/>
                              </w:rPr>
                              <w:t> </w:t>
                            </w:r>
                            <w:r>
                              <w:rPr>
                                <w:i/>
                              </w:rPr>
                              <w:t>Ibidem,</w:t>
                            </w:r>
                            <w:r>
                              <w:rPr>
                                <w:i/>
                                <w:spacing w:val="-9"/>
                              </w:rPr>
                              <w:t> </w:t>
                            </w:r>
                            <w:r>
                              <w:rPr>
                                <w:i/>
                              </w:rPr>
                              <w:t>p.</w:t>
                            </w:r>
                            <w:r>
                              <w:rPr>
                                <w:i/>
                                <w:spacing w:val="-9"/>
                              </w:rPr>
                              <w:t> </w:t>
                            </w:r>
                            <w:r>
                              <w:rPr>
                                <w:i/>
                              </w:rPr>
                              <w:t>379-</w:t>
                            </w:r>
                            <w:r>
                              <w:rPr>
                                <w:i/>
                                <w:spacing w:val="-8"/>
                              </w:rPr>
                              <w:t> </w:t>
                            </w:r>
                            <w:r>
                              <w:rPr>
                                <w:i/>
                              </w:rPr>
                              <w:t>393.</w:t>
                            </w:r>
                            <w:r>
                              <w:rPr>
                                <w:i/>
                                <w:spacing w:val="-5"/>
                              </w:rPr>
                              <w:t> </w:t>
                            </w:r>
                            <w:r>
                              <w:rPr/>
                              <w:t>546</w:t>
                            </w:r>
                          </w:p>
                          <w:p>
                            <w:pPr>
                              <w:pStyle w:val="BodyText"/>
                              <w:spacing w:line="252" w:lineRule="exact"/>
                              <w:ind w:firstLine="0"/>
                            </w:pPr>
                            <w:r>
                              <w:rPr/>
                              <w:t>p.</w:t>
                            </w:r>
                            <w:r>
                              <w:rPr>
                                <w:spacing w:val="49"/>
                              </w:rPr>
                              <w:t> </w:t>
                            </w:r>
                            <w:r>
                              <w:rPr/>
                              <w:t>ISBN</w:t>
                            </w:r>
                            <w:r>
                              <w:rPr>
                                <w:spacing w:val="-3"/>
                              </w:rPr>
                              <w:t> </w:t>
                            </w:r>
                            <w:r>
                              <w:rPr/>
                              <w:t>978-9975-71-828-</w:t>
                            </w:r>
                            <w:r>
                              <w:rPr>
                                <w:spacing w:val="-5"/>
                              </w:rPr>
                              <w:t>8.</w:t>
                            </w:r>
                          </w:p>
                          <w:p>
                            <w:pPr>
                              <w:pStyle w:val="BodyText"/>
                              <w:numPr>
                                <w:ilvl w:val="0"/>
                                <w:numId w:val="3"/>
                              </w:numPr>
                              <w:tabs>
                                <w:tab w:pos="720" w:val="left" w:leader="none"/>
                              </w:tabs>
                              <w:spacing w:line="240" w:lineRule="auto" w:before="2" w:after="0"/>
                              <w:ind w:left="720" w:right="5" w:hanging="360"/>
                              <w:jc w:val="both"/>
                            </w:pPr>
                            <w:r>
                              <w:rPr/>
                              <w:t>Moldovan</w:t>
                            </w:r>
                            <w:r>
                              <w:rPr>
                                <w:spacing w:val="40"/>
                              </w:rPr>
                              <w:t> </w:t>
                            </w:r>
                            <w:r>
                              <w:rPr/>
                              <w:t>peace dialogues: societal integration, Dialoguri de pace în Moldova: integrarea socială, politici strategii de acomodare din perspective academic/accommodative policies and strategies, from an academic perspective. Coord.V.Teosa, Morari C.– Chisinau: CEP USM, 2015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744003pt;margin-top:24.239983pt;width:475.9pt;height:217.55pt;mso-position-horizontal-relative:page;mso-position-vertical-relative:page;z-index:15729152" type="#_x0000_t202" id="docshape1" filled="false" stroked="true" strokeweight=".48004pt" strokecolor="#000000">
                <v:textbox inset="0,0,0,0">
                  <w:txbxContent>
                    <w:p>
                      <w:pPr>
                        <w:pStyle w:val="BodyText"/>
                        <w:spacing w:line="237" w:lineRule="auto"/>
                        <w:ind w:right="1" w:firstLine="0"/>
                      </w:pPr>
                      <w:r>
                        <w:rPr/>
                        <w:t>of</w:t>
                      </w:r>
                      <w:r>
                        <w:rPr>
                          <w:spacing w:val="-14"/>
                        </w:rPr>
                        <w:t> </w:t>
                      </w:r>
                      <w:r>
                        <w:rPr/>
                        <w:t>Ukraine;</w:t>
                      </w:r>
                      <w:r>
                        <w:rPr>
                          <w:spacing w:val="-14"/>
                        </w:rPr>
                        <w:t> </w:t>
                      </w:r>
                      <w:r>
                        <w:rPr/>
                        <w:t>ed.</w:t>
                      </w:r>
                      <w:r>
                        <w:rPr>
                          <w:spacing w:val="-14"/>
                        </w:rPr>
                        <w:t> </w:t>
                      </w:r>
                      <w:r>
                        <w:rPr/>
                        <w:t>board.:</w:t>
                      </w:r>
                      <w:r>
                        <w:rPr>
                          <w:spacing w:val="-13"/>
                        </w:rPr>
                        <w:t> </w:t>
                      </w:r>
                      <w:r>
                        <w:rPr/>
                        <w:t>Teosa</w:t>
                      </w:r>
                      <w:r>
                        <w:rPr>
                          <w:spacing w:val="-14"/>
                        </w:rPr>
                        <w:t> </w:t>
                      </w:r>
                      <w:r>
                        <w:rPr/>
                        <w:t>Valentina</w:t>
                      </w:r>
                      <w:r>
                        <w:rPr>
                          <w:spacing w:val="-14"/>
                        </w:rPr>
                        <w:t> </w:t>
                      </w:r>
                      <w:r>
                        <w:rPr/>
                        <w:t>[et</w:t>
                      </w:r>
                      <w:r>
                        <w:rPr>
                          <w:spacing w:val="-14"/>
                        </w:rPr>
                        <w:t> </w:t>
                      </w:r>
                      <w:r>
                        <w:rPr/>
                        <w:t>al.];</w:t>
                      </w:r>
                      <w:r>
                        <w:rPr>
                          <w:spacing w:val="-13"/>
                        </w:rPr>
                        <w:t> </w:t>
                      </w:r>
                      <w:r>
                        <w:rPr/>
                        <w:t>board</w:t>
                      </w:r>
                      <w:r>
                        <w:rPr>
                          <w:spacing w:val="-14"/>
                        </w:rPr>
                        <w:t> </w:t>
                      </w:r>
                      <w:r>
                        <w:rPr/>
                        <w:t>members:</w:t>
                      </w:r>
                      <w:r>
                        <w:rPr>
                          <w:spacing w:val="-14"/>
                        </w:rPr>
                        <w:t> </w:t>
                      </w:r>
                      <w:r>
                        <w:rPr/>
                        <w:t>Bogdanova</w:t>
                      </w:r>
                      <w:r>
                        <w:rPr>
                          <w:spacing w:val="-14"/>
                        </w:rPr>
                        <w:t> </w:t>
                      </w:r>
                      <w:r>
                        <w:rPr/>
                        <w:t>Olga</w:t>
                      </w:r>
                      <w:r>
                        <w:rPr>
                          <w:spacing w:val="-13"/>
                        </w:rPr>
                        <w:t> </w:t>
                      </w:r>
                      <w:r>
                        <w:rPr/>
                        <w:t>[et</w:t>
                      </w:r>
                      <w:r>
                        <w:rPr>
                          <w:spacing w:val="-14"/>
                        </w:rPr>
                        <w:t> </w:t>
                      </w:r>
                      <w:r>
                        <w:rPr/>
                        <w:t>al.].</w:t>
                      </w:r>
                      <w:r>
                        <w:rPr>
                          <w:spacing w:val="-4"/>
                        </w:rPr>
                        <w:t> </w:t>
                      </w:r>
                      <w:r>
                        <w:rPr/>
                        <w:t>–</w:t>
                      </w:r>
                      <w:r>
                        <w:rPr>
                          <w:spacing w:val="-14"/>
                        </w:rPr>
                        <w:t> </w:t>
                      </w:r>
                      <w:r>
                        <w:rPr/>
                        <w:t>Chişinău: USM: TSU, 2017. – 355 p.:</w:t>
                      </w:r>
                      <w:r>
                        <w:rPr>
                          <w:spacing w:val="40"/>
                        </w:rPr>
                        <w:t> </w:t>
                      </w:r>
                      <w:r>
                        <w:rPr/>
                        <w:t>ISBN 978-9975-71-954-4</w:t>
                      </w:r>
                    </w:p>
                    <w:p>
                      <w:pPr>
                        <w:pStyle w:val="BodyText"/>
                        <w:numPr>
                          <w:ilvl w:val="0"/>
                          <w:numId w:val="3"/>
                        </w:numPr>
                        <w:tabs>
                          <w:tab w:pos="720" w:val="left" w:leader="none"/>
                        </w:tabs>
                        <w:spacing w:line="240" w:lineRule="auto" w:before="0" w:after="0"/>
                        <w:ind w:left="720" w:right="0" w:hanging="360"/>
                        <w:jc w:val="both"/>
                      </w:pPr>
                      <w:r>
                        <w:rPr/>
                        <w:t>Georgia and Moldova: Experience of Building Democratic State. International Scientific Conference. Tbilisi, 26 February 2016. Coordonators:</w:t>
                      </w:r>
                      <w:r>
                        <w:rPr>
                          <w:spacing w:val="40"/>
                        </w:rPr>
                        <w:t> </w:t>
                      </w:r>
                      <w:r>
                        <w:rPr/>
                        <w:t>Malkhaz Matsaberidze, Valentina Teosa, Rodica Svetlicinai. Tbilisi, TSU, 2016, 197 p.</w:t>
                      </w:r>
                      <w:r>
                        <w:rPr>
                          <w:spacing w:val="40"/>
                        </w:rPr>
                        <w:t> </w:t>
                      </w:r>
                      <w:r>
                        <w:rPr/>
                        <w:t>ISBN</w:t>
                      </w:r>
                      <w:r>
                        <w:rPr>
                          <w:spacing w:val="40"/>
                        </w:rPr>
                        <w:t>  </w:t>
                      </w:r>
                      <w:r>
                        <w:rPr/>
                        <w:t>978 – 9941 – 0 – 8985 - 5</w:t>
                      </w:r>
                    </w:p>
                    <w:p>
                      <w:pPr>
                        <w:pStyle w:val="BodyText"/>
                        <w:numPr>
                          <w:ilvl w:val="0"/>
                          <w:numId w:val="3"/>
                        </w:numPr>
                        <w:tabs>
                          <w:tab w:pos="720" w:val="left" w:leader="none"/>
                        </w:tabs>
                        <w:spacing w:line="240" w:lineRule="auto" w:before="0" w:after="0"/>
                        <w:ind w:left="720" w:right="-15" w:hanging="360"/>
                        <w:jc w:val="both"/>
                      </w:pPr>
                      <w:r>
                        <w:rPr>
                          <w:spacing w:val="-2"/>
                        </w:rPr>
                        <w:t>Post-soviet</w:t>
                      </w:r>
                      <w:r>
                        <w:rPr>
                          <w:spacing w:val="-14"/>
                        </w:rPr>
                        <w:t> </w:t>
                      </w:r>
                      <w:r>
                        <w:rPr>
                          <w:spacing w:val="-2"/>
                        </w:rPr>
                        <w:t>states</w:t>
                      </w:r>
                      <w:r>
                        <w:rPr>
                          <w:spacing w:val="-12"/>
                        </w:rPr>
                        <w:t> </w:t>
                      </w:r>
                      <w:r>
                        <w:rPr>
                          <w:spacing w:val="-2"/>
                        </w:rPr>
                        <w:t>between</w:t>
                      </w:r>
                      <w:r>
                        <w:rPr>
                          <w:spacing w:val="-12"/>
                        </w:rPr>
                        <w:t> </w:t>
                      </w:r>
                      <w:r>
                        <w:rPr>
                          <w:spacing w:val="-2"/>
                        </w:rPr>
                        <w:t>Russia</w:t>
                      </w:r>
                      <w:r>
                        <w:rPr>
                          <w:spacing w:val="-11"/>
                        </w:rPr>
                        <w:t> </w:t>
                      </w:r>
                      <w:r>
                        <w:rPr>
                          <w:spacing w:val="-2"/>
                        </w:rPr>
                        <w:t>and</w:t>
                      </w:r>
                      <w:r>
                        <w:rPr>
                          <w:spacing w:val="-12"/>
                        </w:rPr>
                        <w:t> </w:t>
                      </w:r>
                      <w:r>
                        <w:rPr>
                          <w:spacing w:val="-2"/>
                        </w:rPr>
                        <w:t>the</w:t>
                      </w:r>
                      <w:r>
                        <w:rPr>
                          <w:spacing w:val="-12"/>
                        </w:rPr>
                        <w:t> </w:t>
                      </w:r>
                      <w:r>
                        <w:rPr>
                          <w:spacing w:val="-2"/>
                        </w:rPr>
                        <w:t>EU:</w:t>
                      </w:r>
                      <w:r>
                        <w:rPr>
                          <w:spacing w:val="-12"/>
                        </w:rPr>
                        <w:t> </w:t>
                      </w:r>
                      <w:r>
                        <w:rPr>
                          <w:spacing w:val="-2"/>
                        </w:rPr>
                        <w:t>analysing</w:t>
                      </w:r>
                      <w:r>
                        <w:rPr>
                          <w:spacing w:val="-11"/>
                        </w:rPr>
                        <w:t> </w:t>
                      </w:r>
                      <w:r>
                        <w:rPr>
                          <w:spacing w:val="-2"/>
                        </w:rPr>
                        <w:t>special</w:t>
                      </w:r>
                      <w:r>
                        <w:rPr>
                          <w:spacing w:val="-12"/>
                        </w:rPr>
                        <w:t> </w:t>
                      </w:r>
                      <w:r>
                        <w:rPr>
                          <w:spacing w:val="-2"/>
                        </w:rPr>
                        <w:t>circumstances</w:t>
                      </w:r>
                      <w:r>
                        <w:rPr>
                          <w:spacing w:val="-12"/>
                        </w:rPr>
                        <w:t> </w:t>
                      </w:r>
                      <w:r>
                        <w:rPr>
                          <w:spacing w:val="-2"/>
                        </w:rPr>
                        <w:t>and</w:t>
                      </w:r>
                      <w:r>
                        <w:rPr>
                          <w:spacing w:val="-12"/>
                        </w:rPr>
                        <w:t> </w:t>
                      </w:r>
                      <w:r>
                        <w:rPr>
                          <w:spacing w:val="-2"/>
                        </w:rPr>
                        <w:t>political</w:t>
                      </w:r>
                      <w:r>
                        <w:rPr>
                          <w:spacing w:val="-11"/>
                        </w:rPr>
                        <w:t> </w:t>
                      </w:r>
                      <w:r>
                        <w:rPr>
                          <w:spacing w:val="-2"/>
                        </w:rPr>
                        <w:t>tendencies, </w:t>
                      </w:r>
                      <w:r>
                        <w:rPr>
                          <w:spacing w:val="-4"/>
                        </w:rPr>
                        <w:t>conferinţa ştiinţifică internaţională (2016 ; Chişinău).= "Ţările</w:t>
                      </w:r>
                      <w:r>
                        <w:rPr>
                          <w:spacing w:val="-6"/>
                        </w:rPr>
                        <w:t> </w:t>
                      </w:r>
                      <w:r>
                        <w:rPr>
                          <w:spacing w:val="-4"/>
                        </w:rPr>
                        <w:t>post-sovietice între UE şi</w:t>
                      </w:r>
                      <w:r>
                        <w:rPr>
                          <w:spacing w:val="-7"/>
                        </w:rPr>
                        <w:t> </w:t>
                      </w:r>
                      <w:r>
                        <w:rPr>
                          <w:spacing w:val="-4"/>
                        </w:rPr>
                        <w:t>Federaţia Rusă </w:t>
                      </w:r>
                      <w:r>
                        <w:rPr/>
                        <w:t>– analiza circumstanţelor specifice şi tendinţelor politice": Conferinţa ştiinţifică internaţională, 27 September,</w:t>
                      </w:r>
                      <w:r>
                        <w:rPr>
                          <w:spacing w:val="-1"/>
                        </w:rPr>
                        <w:t> </w:t>
                      </w:r>
                      <w:r>
                        <w:rPr/>
                        <w:t>2016</w:t>
                      </w:r>
                      <w:r>
                        <w:rPr>
                          <w:spacing w:val="-3"/>
                        </w:rPr>
                        <w:t> </w:t>
                      </w:r>
                      <w:r>
                        <w:rPr/>
                        <w:t>/</w:t>
                      </w:r>
                      <w:r>
                        <w:rPr>
                          <w:spacing w:val="-2"/>
                        </w:rPr>
                        <w:t> </w:t>
                      </w:r>
                      <w:r>
                        <w:rPr/>
                        <w:t>coord.:</w:t>
                      </w:r>
                      <w:r>
                        <w:rPr>
                          <w:spacing w:val="-7"/>
                        </w:rPr>
                        <w:t> </w:t>
                      </w:r>
                      <w:r>
                        <w:rPr/>
                        <w:t>Valentina Teosa [et</w:t>
                      </w:r>
                      <w:r>
                        <w:rPr>
                          <w:spacing w:val="-6"/>
                        </w:rPr>
                        <w:t> </w:t>
                      </w:r>
                      <w:r>
                        <w:rPr/>
                        <w:t>al.]. –</w:t>
                      </w:r>
                      <w:r>
                        <w:rPr>
                          <w:spacing w:val="-7"/>
                        </w:rPr>
                        <w:t> </w:t>
                      </w:r>
                      <w:r>
                        <w:rPr/>
                        <w:t>Chişinău</w:t>
                      </w:r>
                      <w:r>
                        <w:rPr>
                          <w:spacing w:val="-3"/>
                        </w:rPr>
                        <w:t> </w:t>
                      </w:r>
                      <w:r>
                        <w:rPr/>
                        <w:t>:</w:t>
                      </w:r>
                      <w:r>
                        <w:rPr>
                          <w:spacing w:val="-11"/>
                        </w:rPr>
                        <w:t> </w:t>
                      </w:r>
                      <w:r>
                        <w:rPr/>
                        <w:t>CEP</w:t>
                      </w:r>
                      <w:r>
                        <w:rPr>
                          <w:spacing w:val="-1"/>
                        </w:rPr>
                        <w:t> </w:t>
                      </w:r>
                      <w:r>
                        <w:rPr/>
                        <w:t>USM,</w:t>
                      </w:r>
                      <w:r>
                        <w:rPr>
                          <w:spacing w:val="-1"/>
                        </w:rPr>
                        <w:t> </w:t>
                      </w:r>
                      <w:r>
                        <w:rPr/>
                        <w:t>2016. –</w:t>
                      </w:r>
                      <w:r>
                        <w:rPr>
                          <w:spacing w:val="-7"/>
                        </w:rPr>
                        <w:t> </w:t>
                      </w:r>
                      <w:r>
                        <w:rPr/>
                        <w:t>550</w:t>
                      </w:r>
                      <w:r>
                        <w:rPr>
                          <w:spacing w:val="-3"/>
                        </w:rPr>
                        <w:t> </w:t>
                      </w:r>
                      <w:r>
                        <w:rPr/>
                        <w:t>p.</w:t>
                      </w:r>
                    </w:p>
                    <w:p>
                      <w:pPr>
                        <w:pStyle w:val="BodyText"/>
                        <w:numPr>
                          <w:ilvl w:val="0"/>
                          <w:numId w:val="3"/>
                        </w:numPr>
                        <w:tabs>
                          <w:tab w:pos="720" w:val="left" w:leader="none"/>
                        </w:tabs>
                        <w:spacing w:line="240" w:lineRule="auto" w:before="0" w:after="0"/>
                        <w:ind w:left="720" w:right="0" w:hanging="360"/>
                        <w:jc w:val="both"/>
                      </w:pPr>
                      <w:r>
                        <w:rPr/>
                        <w:t>Relaţiile internaţionale în curriculumul universitar: bazele teoretico-metodologice = International relations in university curricula: theoretical and methodological fundamentals / Univ. de Stat din Moldova</w:t>
                      </w:r>
                      <w:r>
                        <w:rPr>
                          <w:spacing w:val="-5"/>
                        </w:rPr>
                        <w:t> </w:t>
                      </w:r>
                      <w:r>
                        <w:rPr/>
                        <w:t>;</w:t>
                      </w:r>
                      <w:r>
                        <w:rPr>
                          <w:spacing w:val="-7"/>
                        </w:rPr>
                        <w:t> </w:t>
                      </w:r>
                      <w:r>
                        <w:rPr/>
                        <w:t>coord.:</w:t>
                      </w:r>
                      <w:r>
                        <w:rPr>
                          <w:spacing w:val="-7"/>
                        </w:rPr>
                        <w:t> </w:t>
                      </w:r>
                      <w:r>
                        <w:rPr/>
                        <w:t>Valentina</w:t>
                      </w:r>
                      <w:r>
                        <w:rPr>
                          <w:spacing w:val="-5"/>
                        </w:rPr>
                        <w:t> </w:t>
                      </w:r>
                      <w:r>
                        <w:rPr/>
                        <w:t>Teosa</w:t>
                      </w:r>
                      <w:r>
                        <w:rPr>
                          <w:spacing w:val="-5"/>
                        </w:rPr>
                        <w:t> </w:t>
                      </w:r>
                      <w:r>
                        <w:rPr/>
                        <w:t>[et</w:t>
                      </w:r>
                      <w:r>
                        <w:rPr>
                          <w:spacing w:val="-7"/>
                        </w:rPr>
                        <w:t> </w:t>
                      </w:r>
                      <w:r>
                        <w:rPr/>
                        <w:t>al.]. –</w:t>
                      </w:r>
                      <w:r>
                        <w:rPr>
                          <w:spacing w:val="-11"/>
                        </w:rPr>
                        <w:t> </w:t>
                      </w:r>
                      <w:r>
                        <w:rPr/>
                        <w:t>Chişinău</w:t>
                      </w:r>
                      <w:r>
                        <w:rPr>
                          <w:spacing w:val="-8"/>
                        </w:rPr>
                        <w:t> </w:t>
                      </w:r>
                      <w:r>
                        <w:rPr/>
                        <w:t>:</w:t>
                      </w:r>
                      <w:r>
                        <w:rPr>
                          <w:spacing w:val="-10"/>
                        </w:rPr>
                        <w:t> </w:t>
                      </w:r>
                      <w:r>
                        <w:rPr/>
                        <w:t>CEP</w:t>
                      </w:r>
                      <w:r>
                        <w:rPr>
                          <w:spacing w:val="-6"/>
                        </w:rPr>
                        <w:t> </w:t>
                      </w:r>
                      <w:r>
                        <w:rPr/>
                        <w:t>USM,</w:t>
                      </w:r>
                      <w:r>
                        <w:rPr>
                          <w:spacing w:val="-6"/>
                        </w:rPr>
                        <w:t> </w:t>
                      </w:r>
                      <w:r>
                        <w:rPr/>
                        <w:t>2016.</w:t>
                      </w:r>
                      <w:r>
                        <w:rPr>
                          <w:spacing w:val="-2"/>
                        </w:rPr>
                        <w:t> </w:t>
                      </w:r>
                      <w:r>
                        <w:rPr/>
                        <w:t>–</w:t>
                      </w:r>
                      <w:r>
                        <w:rPr>
                          <w:spacing w:val="-11"/>
                        </w:rPr>
                        <w:t> </w:t>
                      </w:r>
                      <w:r>
                        <w:rPr>
                          <w:i/>
                        </w:rPr>
                        <w:t>Ibidem,</w:t>
                      </w:r>
                      <w:r>
                        <w:rPr>
                          <w:i/>
                          <w:spacing w:val="-9"/>
                        </w:rPr>
                        <w:t> </w:t>
                      </w:r>
                      <w:r>
                        <w:rPr>
                          <w:i/>
                        </w:rPr>
                        <w:t>p.</w:t>
                      </w:r>
                      <w:r>
                        <w:rPr>
                          <w:i/>
                          <w:spacing w:val="-9"/>
                        </w:rPr>
                        <w:t> </w:t>
                      </w:r>
                      <w:r>
                        <w:rPr>
                          <w:i/>
                        </w:rPr>
                        <w:t>379-</w:t>
                      </w:r>
                      <w:r>
                        <w:rPr>
                          <w:i/>
                          <w:spacing w:val="-8"/>
                        </w:rPr>
                        <w:t> </w:t>
                      </w:r>
                      <w:r>
                        <w:rPr>
                          <w:i/>
                        </w:rPr>
                        <w:t>393.</w:t>
                      </w:r>
                      <w:r>
                        <w:rPr>
                          <w:i/>
                          <w:spacing w:val="-5"/>
                        </w:rPr>
                        <w:t> </w:t>
                      </w:r>
                      <w:r>
                        <w:rPr/>
                        <w:t>546</w:t>
                      </w:r>
                    </w:p>
                    <w:p>
                      <w:pPr>
                        <w:pStyle w:val="BodyText"/>
                        <w:spacing w:line="252" w:lineRule="exact"/>
                        <w:ind w:firstLine="0"/>
                      </w:pPr>
                      <w:r>
                        <w:rPr/>
                        <w:t>p.</w:t>
                      </w:r>
                      <w:r>
                        <w:rPr>
                          <w:spacing w:val="49"/>
                        </w:rPr>
                        <w:t> </w:t>
                      </w:r>
                      <w:r>
                        <w:rPr/>
                        <w:t>ISBN</w:t>
                      </w:r>
                      <w:r>
                        <w:rPr>
                          <w:spacing w:val="-3"/>
                        </w:rPr>
                        <w:t> </w:t>
                      </w:r>
                      <w:r>
                        <w:rPr/>
                        <w:t>978-9975-71-828-</w:t>
                      </w:r>
                      <w:r>
                        <w:rPr>
                          <w:spacing w:val="-5"/>
                        </w:rPr>
                        <w:t>8.</w:t>
                      </w:r>
                    </w:p>
                    <w:p>
                      <w:pPr>
                        <w:pStyle w:val="BodyText"/>
                        <w:numPr>
                          <w:ilvl w:val="0"/>
                          <w:numId w:val="3"/>
                        </w:numPr>
                        <w:tabs>
                          <w:tab w:pos="720" w:val="left" w:leader="none"/>
                        </w:tabs>
                        <w:spacing w:line="240" w:lineRule="auto" w:before="2" w:after="0"/>
                        <w:ind w:left="720" w:right="5" w:hanging="360"/>
                        <w:jc w:val="both"/>
                      </w:pPr>
                      <w:r>
                        <w:rPr/>
                        <w:t>Moldovan</w:t>
                      </w:r>
                      <w:r>
                        <w:rPr>
                          <w:spacing w:val="40"/>
                        </w:rPr>
                        <w:t> </w:t>
                      </w:r>
                      <w:r>
                        <w:rPr/>
                        <w:t>peace dialogues: societal integration, Dialoguri de pace în Moldova: integrarea socială, politici strategii de acomodare din perspective academic/accommodative policies and strategies, from an academic perspective. Coord.V.Teosa, Morari C.– Chisinau: CEP USM, 2015</w:t>
                      </w:r>
                    </w:p>
                  </w:txbxContent>
                </v:textbox>
                <v:stroke dashstyle="solid"/>
                <w10:wrap type="none"/>
              </v:shape>
            </w:pict>
          </mc:Fallback>
        </mc:AlternateContent>
      </w:r>
      <w:r>
        <w:rPr>
          <w:sz w:val="20"/>
        </w:rPr>
        <mc:AlternateContent>
          <mc:Choice Requires="wps">
            <w:drawing>
              <wp:inline distT="0" distB="0" distL="0" distR="0">
                <wp:extent cx="688975" cy="2768600"/>
                <wp:effectExtent l="0" t="0" r="0" b="0"/>
                <wp:docPr id="2" name="Group 2"/>
                <wp:cNvGraphicFramePr>
                  <a:graphicFrameLocks/>
                </wp:cNvGraphicFramePr>
                <a:graphic>
                  <a:graphicData uri="http://schemas.microsoft.com/office/word/2010/wordprocessingGroup">
                    <wpg:wgp>
                      <wpg:cNvPr id="2" name="Group 2"/>
                      <wpg:cNvGrpSpPr/>
                      <wpg:grpSpPr>
                        <a:xfrm>
                          <a:off x="0" y="0"/>
                          <a:ext cx="688975" cy="2768600"/>
                          <a:chExt cx="688975" cy="2768600"/>
                        </a:xfrm>
                      </wpg:grpSpPr>
                      <wps:wsp>
                        <wps:cNvPr id="3" name="Graphic 3"/>
                        <wps:cNvSpPr/>
                        <wps:spPr>
                          <a:xfrm>
                            <a:off x="0" y="0"/>
                            <a:ext cx="688975" cy="2768600"/>
                          </a:xfrm>
                          <a:custGeom>
                            <a:avLst/>
                            <a:gdLst/>
                            <a:ahLst/>
                            <a:cxnLst/>
                            <a:rect l="l" t="t" r="r" b="b"/>
                            <a:pathLst>
                              <a:path w="688975" h="2768600">
                                <a:moveTo>
                                  <a:pt x="688835" y="2762377"/>
                                </a:moveTo>
                                <a:lnTo>
                                  <a:pt x="6096" y="2762377"/>
                                </a:lnTo>
                                <a:lnTo>
                                  <a:pt x="6096" y="6108"/>
                                </a:lnTo>
                                <a:lnTo>
                                  <a:pt x="0" y="6108"/>
                                </a:lnTo>
                                <a:lnTo>
                                  <a:pt x="0" y="2762377"/>
                                </a:lnTo>
                                <a:lnTo>
                                  <a:pt x="0" y="2768473"/>
                                </a:lnTo>
                                <a:lnTo>
                                  <a:pt x="6096" y="2768473"/>
                                </a:lnTo>
                                <a:lnTo>
                                  <a:pt x="688835" y="2768473"/>
                                </a:lnTo>
                                <a:lnTo>
                                  <a:pt x="688835" y="2762377"/>
                                </a:lnTo>
                                <a:close/>
                              </a:path>
                              <a:path w="688975" h="2768600">
                                <a:moveTo>
                                  <a:pt x="688835" y="0"/>
                                </a:moveTo>
                                <a:lnTo>
                                  <a:pt x="6096" y="0"/>
                                </a:lnTo>
                                <a:lnTo>
                                  <a:pt x="0" y="0"/>
                                </a:lnTo>
                                <a:lnTo>
                                  <a:pt x="0" y="6096"/>
                                </a:lnTo>
                                <a:lnTo>
                                  <a:pt x="6096" y="6096"/>
                                </a:lnTo>
                                <a:lnTo>
                                  <a:pt x="688835" y="6096"/>
                                </a:lnTo>
                                <a:lnTo>
                                  <a:pt x="6888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4.25pt;height:218pt;mso-position-horizontal-relative:char;mso-position-vertical-relative:line" id="docshapegroup2" coordorigin="0,0" coordsize="1085,4360">
                <v:shape style="position:absolute;left:0;top:0;width:1085;height:4360" id="docshape3" coordorigin="0,0" coordsize="1085,4360" path="m1085,4350l10,4350,10,10,0,10,0,4350,0,4360,10,4360,1085,4360,1085,4350xm1085,0l10,0,0,0,0,10,10,10,1085,10,1085,0xe" filled="true" fillcolor="#000000" stroked="false">
                  <v:path arrowok="t"/>
                  <v:fill type="solid"/>
                </v:shape>
              </v:group>
            </w:pict>
          </mc:Fallback>
        </mc:AlternateContent>
      </w:r>
      <w:r>
        <w:rPr>
          <w:sz w:val="20"/>
        </w:rPr>
      </w:r>
    </w:p>
    <w:sectPr>
      <w:pgSz w:w="11910" w:h="16840"/>
      <w:pgMar w:top="46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9"/>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3" w:hanging="360"/>
      </w:pPr>
      <w:rPr>
        <w:rFonts w:hint="default"/>
        <w:lang w:val="ro-RO" w:eastAsia="en-US" w:bidi="ar-SA"/>
      </w:rPr>
    </w:lvl>
    <w:lvl w:ilvl="6">
      <w:start w:val="0"/>
      <w:numFmt w:val="bullet"/>
      <w:lvlText w:val="•"/>
      <w:lvlJc w:val="left"/>
      <w:pPr>
        <w:ind w:left="5992" w:hanging="360"/>
      </w:pPr>
      <w:rPr>
        <w:rFonts w:hint="default"/>
        <w:lang w:val="ro-RO" w:eastAsia="en-US" w:bidi="ar-SA"/>
      </w:rPr>
    </w:lvl>
    <w:lvl w:ilvl="7">
      <w:start w:val="0"/>
      <w:numFmt w:val="bullet"/>
      <w:lvlText w:val="•"/>
      <w:lvlJc w:val="left"/>
      <w:pPr>
        <w:ind w:left="6871" w:hanging="360"/>
      </w:pPr>
      <w:rPr>
        <w:rFonts w:hint="default"/>
        <w:lang w:val="ro-RO" w:eastAsia="en-US" w:bidi="ar-SA"/>
      </w:rPr>
    </w:lvl>
    <w:lvl w:ilvl="8">
      <w:start w:val="0"/>
      <w:numFmt w:val="bullet"/>
      <w:lvlText w:val="•"/>
      <w:lvlJc w:val="left"/>
      <w:pPr>
        <w:ind w:left="7750" w:hanging="360"/>
      </w:pPr>
      <w:rPr>
        <w:rFonts w:hint="default"/>
        <w:lang w:val="ro-RO" w:eastAsia="en-US" w:bidi="ar-SA"/>
      </w:rPr>
    </w:lvl>
  </w:abstractNum>
  <w:abstractNum w:abstractNumId="1">
    <w:multiLevelType w:val="hybridMultilevel"/>
    <w:lvl w:ilvl="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3" w:hanging="360"/>
      </w:pPr>
      <w:rPr>
        <w:rFonts w:hint="default"/>
        <w:lang w:val="ro-RO" w:eastAsia="en-US" w:bidi="ar-SA"/>
      </w:rPr>
    </w:lvl>
    <w:lvl w:ilvl="7">
      <w:start w:val="0"/>
      <w:numFmt w:val="bullet"/>
      <w:lvlText w:val="•"/>
      <w:lvlJc w:val="left"/>
      <w:pPr>
        <w:ind w:left="6872" w:hanging="360"/>
      </w:pPr>
      <w:rPr>
        <w:rFonts w:hint="default"/>
        <w:lang w:val="ro-RO" w:eastAsia="en-US" w:bidi="ar-SA"/>
      </w:rPr>
    </w:lvl>
    <w:lvl w:ilvl="8">
      <w:start w:val="0"/>
      <w:numFmt w:val="bullet"/>
      <w:lvlText w:val="•"/>
      <w:lvlJc w:val="left"/>
      <w:pPr>
        <w:ind w:left="7751" w:hanging="360"/>
      </w:pPr>
      <w:rPr>
        <w:rFonts w:hint="default"/>
        <w:lang w:val="ro-RO" w:eastAsia="en-US" w:bidi="ar-SA"/>
      </w:rPr>
    </w:lvl>
  </w:abstractNum>
  <w:abstractNum w:abstractNumId="0">
    <w:multiLevelType w:val="hybridMultilevel"/>
    <w:lvl w:ilvl="0">
      <w:start w:val="1"/>
      <w:numFmt w:val="decimal"/>
      <w:lvlText w:val="%1."/>
      <w:lvlJc w:val="left"/>
      <w:pPr>
        <w:ind w:left="441" w:hanging="284"/>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346" w:hanging="284"/>
      </w:pPr>
      <w:rPr>
        <w:rFonts w:hint="default"/>
        <w:lang w:val="ro-RO" w:eastAsia="en-US" w:bidi="ar-SA"/>
      </w:rPr>
    </w:lvl>
    <w:lvl w:ilvl="2">
      <w:start w:val="0"/>
      <w:numFmt w:val="bullet"/>
      <w:lvlText w:val="•"/>
      <w:lvlJc w:val="left"/>
      <w:pPr>
        <w:ind w:left="2253" w:hanging="284"/>
      </w:pPr>
      <w:rPr>
        <w:rFonts w:hint="default"/>
        <w:lang w:val="ro-RO" w:eastAsia="en-US" w:bidi="ar-SA"/>
      </w:rPr>
    </w:lvl>
    <w:lvl w:ilvl="3">
      <w:start w:val="0"/>
      <w:numFmt w:val="bullet"/>
      <w:lvlText w:val="•"/>
      <w:lvlJc w:val="left"/>
      <w:pPr>
        <w:ind w:left="3160" w:hanging="284"/>
      </w:pPr>
      <w:rPr>
        <w:rFonts w:hint="default"/>
        <w:lang w:val="ro-RO" w:eastAsia="en-US" w:bidi="ar-SA"/>
      </w:rPr>
    </w:lvl>
    <w:lvl w:ilvl="4">
      <w:start w:val="0"/>
      <w:numFmt w:val="bullet"/>
      <w:lvlText w:val="•"/>
      <w:lvlJc w:val="left"/>
      <w:pPr>
        <w:ind w:left="4067" w:hanging="284"/>
      </w:pPr>
      <w:rPr>
        <w:rFonts w:hint="default"/>
        <w:lang w:val="ro-RO" w:eastAsia="en-US" w:bidi="ar-SA"/>
      </w:rPr>
    </w:lvl>
    <w:lvl w:ilvl="5">
      <w:start w:val="0"/>
      <w:numFmt w:val="bullet"/>
      <w:lvlText w:val="•"/>
      <w:lvlJc w:val="left"/>
      <w:pPr>
        <w:ind w:left="4974" w:hanging="284"/>
      </w:pPr>
      <w:rPr>
        <w:rFonts w:hint="default"/>
        <w:lang w:val="ro-RO" w:eastAsia="en-US" w:bidi="ar-SA"/>
      </w:rPr>
    </w:lvl>
    <w:lvl w:ilvl="6">
      <w:start w:val="0"/>
      <w:numFmt w:val="bullet"/>
      <w:lvlText w:val="•"/>
      <w:lvlJc w:val="left"/>
      <w:pPr>
        <w:ind w:left="5881" w:hanging="284"/>
      </w:pPr>
      <w:rPr>
        <w:rFonts w:hint="default"/>
        <w:lang w:val="ro-RO" w:eastAsia="en-US" w:bidi="ar-SA"/>
      </w:rPr>
    </w:lvl>
    <w:lvl w:ilvl="7">
      <w:start w:val="0"/>
      <w:numFmt w:val="bullet"/>
      <w:lvlText w:val="•"/>
      <w:lvlJc w:val="left"/>
      <w:pPr>
        <w:ind w:left="6788" w:hanging="284"/>
      </w:pPr>
      <w:rPr>
        <w:rFonts w:hint="default"/>
        <w:lang w:val="ro-RO" w:eastAsia="en-US" w:bidi="ar-SA"/>
      </w:rPr>
    </w:lvl>
    <w:lvl w:ilvl="8">
      <w:start w:val="0"/>
      <w:numFmt w:val="bullet"/>
      <w:lvlText w:val="•"/>
      <w:lvlJc w:val="left"/>
      <w:pPr>
        <w:ind w:left="7695" w:hanging="284"/>
      </w:pPr>
      <w:rPr>
        <w:rFonts w:hint="default"/>
        <w:lang w:val="ro-RO"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ind w:left="720" w:hanging="360"/>
      <w:jc w:val="both"/>
    </w:pPr>
    <w:rPr>
      <w:rFonts w:ascii="Times New Roman" w:hAnsi="Times New Roman" w:eastAsia="Times New Roman" w:cs="Times New Roman"/>
      <w:sz w:val="22"/>
      <w:szCs w:val="22"/>
      <w:lang w:val="ro-RO" w:eastAsia="en-US" w:bidi="ar-SA"/>
    </w:rPr>
  </w:style>
  <w:style w:styleId="Title" w:type="paragraph">
    <w:name w:val="Title"/>
    <w:basedOn w:val="Normal"/>
    <w:uiPriority w:val="1"/>
    <w:qFormat/>
    <w:pPr>
      <w:spacing w:before="70" w:after="2"/>
      <w:ind w:left="2723" w:right="4493" w:firstLine="744"/>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4"/>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ono.ro/stiinta-si-globalizarea-in-mileniul-" TargetMode="External"/><Relationship Id="rId6" Type="http://schemas.openxmlformats.org/officeDocument/2006/relationships/hyperlink" Target="http://www.scribd.com/doc/25048447/Politica-"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2026-04-08T14:33:41Z</dcterms:created>
  <dcterms:modified xsi:type="dcterms:W3CDTF">2026-04-08T14:33:41Z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