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Aprobat:Consiliul</w:t>
      </w:r>
      <w:r>
        <w:rPr>
          <w:spacing w:val="-10"/>
        </w:rPr>
        <w:t> </w:t>
      </w:r>
      <w:r>
        <w:rPr/>
        <w:t>Științific</w:t>
      </w:r>
      <w:r>
        <w:rPr>
          <w:spacing w:val="-13"/>
        </w:rPr>
        <w:t> </w:t>
      </w:r>
      <w:r>
        <w:rPr/>
        <w:t>al USM</w:t>
      </w:r>
      <w:r>
        <w:rPr>
          <w:spacing w:val="-5"/>
        </w:rPr>
        <w:t> </w:t>
      </w:r>
      <w:r>
        <w:rPr/>
        <w:t>Proces</w:t>
      </w:r>
      <w:r>
        <w:rPr>
          <w:spacing w:val="-6"/>
        </w:rPr>
        <w:t> </w:t>
      </w:r>
      <w:r>
        <w:rPr/>
        <w:t>verbal</w:t>
      </w:r>
      <w:r>
        <w:rPr>
          <w:spacing w:val="-5"/>
        </w:rPr>
        <w:t> </w:t>
      </w:r>
      <w:r>
        <w:rPr/>
        <w:t>nr.</w:t>
      </w:r>
      <w:r>
        <w:rPr>
          <w:spacing w:val="1"/>
        </w:rPr>
        <w:t> </w:t>
      </w:r>
      <w:r>
        <w:rPr/>
        <w:t>1,</w:t>
      </w:r>
      <w:r>
        <w:rPr>
          <w:spacing w:val="-1"/>
        </w:rPr>
        <w:t> </w:t>
      </w:r>
      <w:r>
        <w:rPr/>
        <w:t>din</w:t>
      </w:r>
      <w:r>
        <w:rPr>
          <w:spacing w:val="-8"/>
        </w:rPr>
        <w:t> </w:t>
      </w:r>
      <w:r>
        <w:rPr>
          <w:spacing w:val="-2"/>
        </w:rPr>
        <w:t>30.11.22</w:t>
      </w:r>
    </w:p>
    <w:tbl>
      <w:tblPr>
        <w:tblW w:w="0" w:type="auto"/>
        <w:jc w:val="left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7"/>
        <w:gridCol w:w="710"/>
        <w:gridCol w:w="754"/>
        <w:gridCol w:w="2036"/>
        <w:gridCol w:w="2430"/>
        <w:gridCol w:w="1355"/>
        <w:gridCol w:w="2161"/>
      </w:tblGrid>
      <w:tr>
        <w:trPr>
          <w:trHeight w:val="350" w:hRule="atLeast"/>
        </w:trPr>
        <w:tc>
          <w:tcPr>
            <w:tcW w:w="2621" w:type="dxa"/>
            <w:gridSpan w:val="3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Denumirea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disciplinei</w:t>
            </w:r>
          </w:p>
        </w:tc>
        <w:tc>
          <w:tcPr>
            <w:tcW w:w="7982" w:type="dxa"/>
            <w:gridSpan w:val="4"/>
          </w:tcPr>
          <w:p>
            <w:pPr>
              <w:pStyle w:val="TableParagraph"/>
              <w:spacing w:line="244" w:lineRule="exact"/>
              <w:ind w:left="62"/>
              <w:rPr>
                <w:b/>
                <w:sz w:val="22"/>
              </w:rPr>
            </w:pPr>
            <w:r>
              <w:rPr>
                <w:sz w:val="22"/>
              </w:rPr>
              <w:t>S.02.O.7.</w:t>
            </w:r>
            <w:r>
              <w:rPr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Studiul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istoriografic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bibliografic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domeniul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cercetare</w:t>
            </w:r>
          </w:p>
        </w:tc>
      </w:tr>
      <w:tr>
        <w:trPr>
          <w:trHeight w:val="316" w:hRule="atLeast"/>
        </w:trPr>
        <w:tc>
          <w:tcPr>
            <w:tcW w:w="2621" w:type="dxa"/>
            <w:gridSpan w:val="3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Conducător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doctorat</w:t>
            </w:r>
          </w:p>
        </w:tc>
        <w:tc>
          <w:tcPr>
            <w:tcW w:w="7982" w:type="dxa"/>
            <w:gridSpan w:val="4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Tatiana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Tofan,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conf. </w:t>
            </w:r>
            <w:r>
              <w:rPr>
                <w:spacing w:val="-2"/>
                <w:sz w:val="22"/>
              </w:rPr>
              <w:t>univ.</w:t>
            </w:r>
          </w:p>
        </w:tc>
      </w:tr>
      <w:tr>
        <w:trPr>
          <w:trHeight w:val="350" w:hRule="atLeast"/>
        </w:trPr>
        <w:tc>
          <w:tcPr>
            <w:tcW w:w="10603" w:type="dxa"/>
            <w:gridSpan w:val="7"/>
          </w:tcPr>
          <w:p>
            <w:pPr>
              <w:pStyle w:val="TableParagraph"/>
              <w:spacing w:before="1"/>
              <w:ind w:left="254"/>
              <w:rPr>
                <w:b/>
                <w:sz w:val="22"/>
              </w:rPr>
            </w:pPr>
            <w:r>
              <w:rPr>
                <w:b/>
                <w:sz w:val="22"/>
              </w:rPr>
              <w:t>Ciclul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III,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Doctorat</w:t>
            </w:r>
          </w:p>
        </w:tc>
      </w:tr>
      <w:tr>
        <w:trPr>
          <w:trHeight w:val="451" w:hRule="atLeast"/>
        </w:trPr>
        <w:tc>
          <w:tcPr>
            <w:tcW w:w="7087" w:type="dxa"/>
            <w:gridSpan w:val="5"/>
          </w:tcPr>
          <w:p>
            <w:pPr>
              <w:pStyle w:val="TableParagraph"/>
              <w:spacing w:line="226" w:lineRule="exact"/>
              <w:ind w:left="3024" w:right="3006"/>
              <w:jc w:val="center"/>
              <w:rPr>
                <w:sz w:val="22"/>
              </w:rPr>
            </w:pPr>
            <w:r>
              <w:rPr>
                <w:sz w:val="22"/>
              </w:rPr>
              <w:t>Numărul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4"/>
                <w:sz w:val="22"/>
              </w:rPr>
              <w:t>ore</w:t>
            </w:r>
          </w:p>
        </w:tc>
        <w:tc>
          <w:tcPr>
            <w:tcW w:w="1355" w:type="dxa"/>
            <w:vMerge w:val="restart"/>
          </w:tcPr>
          <w:p>
            <w:pPr>
              <w:pStyle w:val="TableParagraph"/>
              <w:spacing w:before="135"/>
              <w:ind w:left="163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credite</w:t>
            </w:r>
          </w:p>
        </w:tc>
        <w:tc>
          <w:tcPr>
            <w:tcW w:w="2161" w:type="dxa"/>
            <w:vMerge w:val="restart"/>
          </w:tcPr>
          <w:p>
            <w:pPr>
              <w:pStyle w:val="TableParagraph"/>
              <w:spacing w:line="230" w:lineRule="exact"/>
              <w:ind w:left="325"/>
              <w:rPr>
                <w:sz w:val="22"/>
              </w:rPr>
            </w:pPr>
            <w:r>
              <w:rPr>
                <w:sz w:val="22"/>
              </w:rPr>
              <w:t>Forma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evaluare</w:t>
            </w:r>
          </w:p>
        </w:tc>
      </w:tr>
      <w:tr>
        <w:trPr>
          <w:trHeight w:val="449" w:hRule="atLeast"/>
        </w:trPr>
        <w:tc>
          <w:tcPr>
            <w:tcW w:w="1867" w:type="dxa"/>
            <w:gridSpan w:val="2"/>
          </w:tcPr>
          <w:p>
            <w:pPr>
              <w:pStyle w:val="TableParagraph"/>
              <w:spacing w:line="226" w:lineRule="exact"/>
              <w:ind w:left="734" w:right="71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Tota </w:t>
            </w:r>
            <w:r>
              <w:rPr>
                <w:spacing w:val="-10"/>
                <w:sz w:val="22"/>
              </w:rPr>
              <w:t>l</w:t>
            </w:r>
          </w:p>
        </w:tc>
        <w:tc>
          <w:tcPr>
            <w:tcW w:w="2790" w:type="dxa"/>
            <w:gridSpan w:val="2"/>
          </w:tcPr>
          <w:p>
            <w:pPr>
              <w:pStyle w:val="TableParagraph"/>
              <w:spacing w:line="229" w:lineRule="exact"/>
              <w:ind w:left="783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direct</w:t>
            </w:r>
          </w:p>
        </w:tc>
        <w:tc>
          <w:tcPr>
            <w:tcW w:w="2430" w:type="dxa"/>
          </w:tcPr>
          <w:p>
            <w:pPr>
              <w:pStyle w:val="TableParagraph"/>
              <w:spacing w:line="226" w:lineRule="exact"/>
              <w:ind w:left="768" w:right="72" w:firstLine="153"/>
              <w:rPr>
                <w:sz w:val="22"/>
              </w:rPr>
            </w:pPr>
            <w:r>
              <w:rPr>
                <w:spacing w:val="-2"/>
                <w:sz w:val="22"/>
              </w:rPr>
              <w:t>Lucrul individual</w:t>
            </w:r>
          </w:p>
        </w:tc>
        <w:tc>
          <w:tcPr>
            <w:tcW w:w="1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8" w:hRule="atLeast"/>
        </w:trPr>
        <w:tc>
          <w:tcPr>
            <w:tcW w:w="1867" w:type="dxa"/>
            <w:gridSpan w:val="2"/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2790" w:type="dxa"/>
            <w:gridSpan w:val="2"/>
          </w:tcPr>
          <w:p>
            <w:pPr>
              <w:pStyle w:val="TableParagraph"/>
              <w:spacing w:line="228" w:lineRule="exact"/>
              <w:ind w:left="2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430" w:type="dxa"/>
          </w:tcPr>
          <w:p>
            <w:pPr>
              <w:pStyle w:val="TableParagraph"/>
              <w:spacing w:line="228" w:lineRule="exact"/>
              <w:ind w:left="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1355" w:type="dxa"/>
          </w:tcPr>
          <w:p>
            <w:pPr>
              <w:pStyle w:val="TableParagraph"/>
              <w:spacing w:line="228" w:lineRule="exact"/>
              <w:ind w:left="1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161" w:type="dxa"/>
          </w:tcPr>
          <w:p>
            <w:pPr>
              <w:pStyle w:val="TableParagraph"/>
              <w:spacing w:line="226" w:lineRule="exact"/>
              <w:ind w:left="767" w:right="77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Exame </w:t>
            </w:r>
            <w:r>
              <w:rPr>
                <w:spacing w:val="-10"/>
                <w:sz w:val="22"/>
              </w:rPr>
              <w:t>n</w:t>
            </w:r>
          </w:p>
        </w:tc>
      </w:tr>
      <w:tr>
        <w:trPr>
          <w:trHeight w:val="2920" w:hRule="atLeast"/>
        </w:trPr>
        <w:tc>
          <w:tcPr>
            <w:tcW w:w="1157" w:type="dxa"/>
          </w:tcPr>
          <w:p>
            <w:pPr>
              <w:pStyle w:val="TableParagraph"/>
              <w:spacing w:line="278" w:lineRule="auto"/>
              <w:ind w:right="2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Funda- mentare</w:t>
            </w:r>
          </w:p>
        </w:tc>
        <w:tc>
          <w:tcPr>
            <w:tcW w:w="9446" w:type="dxa"/>
            <w:gridSpan w:val="6"/>
          </w:tcPr>
          <w:p>
            <w:pPr>
              <w:pStyle w:val="TableParagraph"/>
              <w:spacing w:line="276" w:lineRule="auto"/>
              <w:ind w:left="220" w:right="211"/>
              <w:jc w:val="both"/>
              <w:rPr>
                <w:sz w:val="22"/>
              </w:rPr>
            </w:pPr>
            <w:r>
              <w:rPr>
                <w:sz w:val="22"/>
              </w:rPr>
              <w:t>Scopul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disciplinii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constă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dezvoltarea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viziuni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ansamblu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asupra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istoriei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conceptelor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teoriilor fondatoare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administrației publice, asupra lucrărilor teoretice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și empirice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referitoare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 domeniul de cercetare. Disciplina implică dezvoltarea competențelor referitoare la abilitățile de lucru cu sursele istoriografice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bibliografice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cercetare,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analiză și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sinteză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literaturii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specialitate. Studenții-doctoranzi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învăța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utilizeze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baze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naționale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internaționale,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identifice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sursele relevante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cercetării,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evidențieze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conceptele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teoriile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consacrate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domeniu,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analizeze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dinamica cercetării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domeniu, dar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să nominalizeze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recente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lucrări 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cercetare. Studiul istoriografic și bibliografic permite doctorandului să cunoască gradul de cercetare a problemei în diverse spații cultural-academice și să clarifice statutul cercetării sale în stadiul actual al cunoaşterii.</w:t>
            </w:r>
          </w:p>
        </w:tc>
      </w:tr>
      <w:tr>
        <w:trPr>
          <w:trHeight w:val="1483" w:hRule="atLeast"/>
        </w:trPr>
        <w:tc>
          <w:tcPr>
            <w:tcW w:w="1157" w:type="dxa"/>
          </w:tcPr>
          <w:p>
            <w:pPr>
              <w:pStyle w:val="TableParagraph"/>
              <w:spacing w:line="278" w:lineRule="auto" w:before="1"/>
              <w:ind w:right="2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Compe- tenţele </w:t>
            </w:r>
            <w:r>
              <w:rPr>
                <w:b/>
                <w:spacing w:val="-4"/>
                <w:sz w:val="22"/>
              </w:rPr>
              <w:t>obţinute</w:t>
            </w:r>
          </w:p>
        </w:tc>
        <w:tc>
          <w:tcPr>
            <w:tcW w:w="9446" w:type="dxa"/>
            <w:gridSpan w:val="6"/>
          </w:tcPr>
          <w:p>
            <w:pPr>
              <w:pStyle w:val="TableParagraph"/>
              <w:spacing w:line="278" w:lineRule="auto"/>
              <w:ind w:left="148" w:right="983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Examinarea critică 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surselor istoriografice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bibliografice din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cercetare. CP 2. Selectarea surselor relevante tematicii cercetării.</w:t>
            </w:r>
          </w:p>
          <w:p>
            <w:pPr>
              <w:pStyle w:val="TableParagraph"/>
              <w:spacing w:line="252" w:lineRule="exact"/>
              <w:ind w:left="148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sinteza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surselor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relevante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aferente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tezei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doctorat.</w:t>
            </w:r>
          </w:p>
          <w:p>
            <w:pPr>
              <w:pStyle w:val="TableParagraph"/>
              <w:spacing w:line="278" w:lineRule="auto" w:before="31"/>
              <w:ind w:left="148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4.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Clarificarea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statutului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tematicii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cercetate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tabloul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istoriografic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bibliografic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al cercetării/al domeniului de cercetare.</w:t>
            </w:r>
          </w:p>
        </w:tc>
      </w:tr>
      <w:tr>
        <w:trPr>
          <w:trHeight w:val="1165" w:hRule="atLeast"/>
        </w:trPr>
        <w:tc>
          <w:tcPr>
            <w:tcW w:w="1157" w:type="dxa"/>
          </w:tcPr>
          <w:p>
            <w:pPr>
              <w:pStyle w:val="TableParagraph"/>
              <w:spacing w:line="278" w:lineRule="auto" w:before="1"/>
              <w:ind w:right="8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Conţi- nutul disciplinei</w:t>
            </w:r>
          </w:p>
        </w:tc>
        <w:tc>
          <w:tcPr>
            <w:tcW w:w="9446" w:type="dxa"/>
            <w:gridSpan w:val="6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9" w:lineRule="exact" w:before="0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Studiul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evoluției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conceptelor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cercetare.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40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Analiza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lucrărilor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teoretice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empirice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tematica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spații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cultural-</w:t>
            </w:r>
            <w:r>
              <w:rPr>
                <w:spacing w:val="-2"/>
                <w:sz w:val="22"/>
              </w:rPr>
              <w:t>academice.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35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Sinteza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lucrărilor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teoretice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empirice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relevante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cercetării.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39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Clarificarea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statutului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epistemologic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propriei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cercetări.</w:t>
            </w:r>
          </w:p>
        </w:tc>
      </w:tr>
      <w:tr>
        <w:trPr>
          <w:trHeight w:val="6068" w:hRule="atLeast"/>
        </w:trPr>
        <w:tc>
          <w:tcPr>
            <w:tcW w:w="1157" w:type="dxa"/>
          </w:tcPr>
          <w:p>
            <w:pPr>
              <w:pStyle w:val="TableParagraph"/>
              <w:spacing w:line="278" w:lineRule="auto" w:before="1"/>
              <w:ind w:right="8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Biblio- grafia </w:t>
            </w:r>
            <w:r>
              <w:rPr>
                <w:b/>
                <w:spacing w:val="-4"/>
                <w:sz w:val="22"/>
              </w:rPr>
              <w:t>minimală</w:t>
            </w:r>
          </w:p>
        </w:tc>
        <w:tc>
          <w:tcPr>
            <w:tcW w:w="9446" w:type="dxa"/>
            <w:gridSpan w:val="6"/>
          </w:tcPr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Surse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bibliografice: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8" w:val="left" w:leader="none"/>
                <w:tab w:pos="364" w:val="left" w:leader="none"/>
              </w:tabs>
              <w:spacing w:line="273" w:lineRule="auto" w:before="2" w:after="0"/>
              <w:ind w:left="364" w:right="-15" w:hanging="361"/>
              <w:jc w:val="left"/>
              <w:rPr>
                <w:sz w:val="22"/>
              </w:rPr>
            </w:pPr>
            <w:r>
              <w:rPr>
                <w:sz w:val="22"/>
              </w:rPr>
              <w:t>Dulschi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Studiul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bibliografic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teza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doctor: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aspecte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metodologice</w:t>
            </w:r>
            <w:r>
              <w:rPr>
                <w:sz w:val="22"/>
              </w:rPr>
              <w:t>.</w:t>
            </w:r>
            <w:r>
              <w:rPr>
                <w:spacing w:val="-7"/>
                <w:sz w:val="22"/>
              </w:rPr>
              <w:t> </w:t>
            </w:r>
            <w:r>
              <w:rPr>
                <w:color w:val="2C2315"/>
                <w:sz w:val="22"/>
              </w:rPr>
              <w:t>In:</w:t>
            </w:r>
            <w:r>
              <w:rPr>
                <w:color w:val="2C2315"/>
                <w:spacing w:val="-4"/>
                <w:sz w:val="22"/>
              </w:rPr>
              <w:t> </w:t>
            </w:r>
            <w:r>
              <w:rPr>
                <w:i/>
                <w:color w:val="2C2315"/>
                <w:sz w:val="22"/>
              </w:rPr>
              <w:t>Administrarea</w:t>
            </w:r>
            <w:r>
              <w:rPr>
                <w:i/>
                <w:color w:val="2C2315"/>
                <w:spacing w:val="-5"/>
                <w:sz w:val="22"/>
              </w:rPr>
              <w:t> </w:t>
            </w:r>
            <w:r>
              <w:rPr>
                <w:i/>
                <w:color w:val="2C2315"/>
                <w:sz w:val="22"/>
              </w:rPr>
              <w:t>Publică</w:t>
            </w:r>
            <w:r>
              <w:rPr>
                <w:color w:val="2C2315"/>
                <w:sz w:val="22"/>
              </w:rPr>
              <w:t>.</w:t>
            </w:r>
            <w:r>
              <w:rPr>
                <w:color w:val="2C2315"/>
                <w:spacing w:val="-7"/>
                <w:sz w:val="22"/>
              </w:rPr>
              <w:t> </w:t>
            </w:r>
            <w:r>
              <w:rPr>
                <w:color w:val="2C2315"/>
                <w:sz w:val="22"/>
              </w:rPr>
              <w:t>2017, nr. 2(94).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8" w:val="left" w:leader="none"/>
                <w:tab w:pos="364" w:val="left" w:leader="none"/>
              </w:tabs>
              <w:spacing w:line="273" w:lineRule="auto" w:before="4" w:after="0"/>
              <w:ind w:left="364" w:right="-15" w:hanging="361"/>
              <w:jc w:val="left"/>
              <w:rPr>
                <w:sz w:val="22"/>
              </w:rPr>
            </w:pPr>
            <w:r>
              <w:rPr>
                <w:sz w:val="22"/>
              </w:rPr>
              <w:t>King R., F. </w:t>
            </w:r>
            <w:r>
              <w:rPr>
                <w:i/>
                <w:sz w:val="22"/>
              </w:rPr>
              <w:t>Strategia cercetării. Treisprezece cursuri despre elementele ştiinţelor sociale</w:t>
            </w:r>
            <w:r>
              <w:rPr>
                <w:sz w:val="22"/>
              </w:rPr>
              <w:t>. Iaşi: Editura Polirom, 2005.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8" w:val="left" w:leader="none"/>
                <w:tab w:pos="364" w:val="left" w:leader="none"/>
              </w:tabs>
              <w:spacing w:line="278" w:lineRule="auto" w:before="4" w:after="0"/>
              <w:ind w:left="364" w:right="1" w:hanging="361"/>
              <w:jc w:val="left"/>
              <w:rPr>
                <w:sz w:val="22"/>
              </w:rPr>
            </w:pPr>
            <w:r>
              <w:rPr>
                <w:sz w:val="22"/>
              </w:rPr>
              <w:t>Eșco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C.,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Russu-Deleu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R.,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Zabrailov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Proiectarea,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elaborarea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și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redactarea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lucrărilor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științifice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z w:val="22"/>
              </w:rPr>
              <w:t>(Ghid). Chișinău: S. n., 2016 (Tipogr. „Primex-Com”).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8" w:val="left" w:leader="none"/>
                <w:tab w:pos="364" w:val="left" w:leader="none"/>
              </w:tabs>
              <w:spacing w:line="278" w:lineRule="auto" w:before="0" w:after="0"/>
              <w:ind w:left="364" w:right="-15" w:hanging="361"/>
              <w:jc w:val="left"/>
              <w:rPr>
                <w:sz w:val="22"/>
              </w:rPr>
            </w:pPr>
            <w:r>
              <w:rPr>
                <w:i/>
                <w:sz w:val="22"/>
              </w:rPr>
              <w:t>Referințe</w:t>
            </w:r>
            <w:r>
              <w:rPr>
                <w:i/>
                <w:spacing w:val="34"/>
                <w:sz w:val="22"/>
              </w:rPr>
              <w:t> </w:t>
            </w:r>
            <w:r>
              <w:rPr>
                <w:i/>
                <w:sz w:val="22"/>
              </w:rPr>
              <w:t>bibliografice:</w:t>
            </w:r>
            <w:r>
              <w:rPr>
                <w:i/>
                <w:spacing w:val="35"/>
                <w:sz w:val="22"/>
              </w:rPr>
              <w:t> </w:t>
            </w:r>
            <w:r>
              <w:rPr>
                <w:i/>
                <w:sz w:val="22"/>
              </w:rPr>
              <w:t>norme</w:t>
            </w:r>
            <w:r>
              <w:rPr>
                <w:i/>
                <w:spacing w:val="29"/>
                <w:sz w:val="22"/>
              </w:rPr>
              <w:t> </w:t>
            </w:r>
            <w:r>
              <w:rPr>
                <w:i/>
                <w:sz w:val="22"/>
              </w:rPr>
              <w:t>și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stiluri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34"/>
                <w:sz w:val="22"/>
              </w:rPr>
              <w:t> </w:t>
            </w:r>
            <w:r>
              <w:rPr>
                <w:i/>
                <w:sz w:val="22"/>
              </w:rPr>
              <w:t>citare</w:t>
            </w:r>
            <w:r>
              <w:rPr>
                <w:sz w:val="22"/>
              </w:rPr>
              <w:t>.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Ghid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practic.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(coord.)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Nicolaeva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J.,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Zasavițchi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E. Chișinău: Academia de Științe a Moldovei, 2010.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8" w:val="left" w:leader="none"/>
                <w:tab w:pos="364" w:val="left" w:leader="none"/>
              </w:tabs>
              <w:spacing w:line="273" w:lineRule="auto" w:before="0" w:after="0"/>
              <w:ind w:left="364" w:right="-15" w:hanging="361"/>
              <w:jc w:val="left"/>
              <w:rPr>
                <w:sz w:val="22"/>
              </w:rPr>
            </w:pPr>
            <w:r>
              <w:rPr>
                <w:sz w:val="22"/>
              </w:rPr>
              <w:t>Rădulescu,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Mihaela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Șt.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2006.</w:t>
            </w:r>
            <w:r>
              <w:rPr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Metodologia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științifice.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Elaborarea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lucrărilor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licență, masterat, doctorat</w:t>
            </w:r>
            <w:r>
              <w:rPr>
                <w:sz w:val="22"/>
              </w:rPr>
              <w:t>. București: Ed. Didactică și Pedagofică.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9" w:val="left" w:leader="none"/>
              </w:tabs>
              <w:spacing w:line="240" w:lineRule="auto" w:before="0" w:after="0"/>
              <w:ind w:left="22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Tătărescu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Elemente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cultură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informației</w:t>
            </w:r>
            <w:r>
              <w:rPr>
                <w:sz w:val="22"/>
              </w:rPr>
              <w:t>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În: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Intellectus.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2012,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nr.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pp.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90.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5" w:val="left" w:leader="none"/>
                <w:tab w:pos="364" w:val="left" w:leader="none"/>
              </w:tabs>
              <w:spacing w:line="278" w:lineRule="auto" w:before="32" w:after="0"/>
              <w:ind w:left="364" w:right="1" w:hanging="361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Tipuri 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rezultate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ale activităților științifice</w:t>
            </w:r>
            <w:r>
              <w:rPr>
                <w:sz w:val="22"/>
              </w:rPr>
              <w:t>. Coord. Cuciureanu G., N. Țurcan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N., Ungureanu E. et al. Chişinău: Institutul de Dezvoltare a Societăţii Informaţionale, 2018.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0" w:val="left" w:leader="none"/>
                <w:tab w:pos="406" w:val="left" w:leader="none"/>
              </w:tabs>
              <w:spacing w:line="276" w:lineRule="auto" w:before="0" w:after="0"/>
              <w:ind w:left="350" w:right="-15" w:hanging="284"/>
              <w:jc w:val="both"/>
              <w:rPr>
                <w:sz w:val="22"/>
              </w:rPr>
            </w:pPr>
            <w:r>
              <w:rPr>
                <w:sz w:val="22"/>
              </w:rPr>
              <w:t>Botnari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V. </w:t>
            </w:r>
            <w:r>
              <w:rPr>
                <w:i/>
                <w:sz w:val="22"/>
              </w:rPr>
              <w:t>Reflecții asupra erorilor atestate în cercetările doctoranzilor. </w:t>
            </w:r>
            <w:r>
              <w:rPr>
                <w:sz w:val="22"/>
              </w:rPr>
              <w:t>In: Proceedings of the 2nd International conference of applied psychology „Current Affairs and Perspectives in Psychological Research”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November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29-30,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2022.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Chişinău: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CEP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USM,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2022,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p.312-322.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ISBN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978-9975-159-99-</w:t>
            </w:r>
            <w:r>
              <w:rPr>
                <w:spacing w:val="-5"/>
                <w:sz w:val="22"/>
              </w:rPr>
              <w:t>9.</w:t>
            </w:r>
          </w:p>
          <w:p>
            <w:pPr>
              <w:pStyle w:val="TableParagraph"/>
              <w:spacing w:line="250" w:lineRule="exact"/>
              <w:ind w:left="350"/>
              <w:jc w:val="both"/>
              <w:rPr>
                <w:sz w:val="22"/>
              </w:rPr>
            </w:pPr>
            <w:r>
              <w:rPr>
                <w:sz w:val="22"/>
              </w:rPr>
              <w:t>CZU: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001.98.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DOI:</w:t>
            </w:r>
            <w:r>
              <w:rPr>
                <w:spacing w:val="-8"/>
                <w:sz w:val="22"/>
              </w:rPr>
              <w:t> </w:t>
            </w:r>
            <w:hyperlink r:id="rId5">
              <w:r>
                <w:rPr>
                  <w:sz w:val="22"/>
                  <w:u w:val="single"/>
                </w:rPr>
                <w:t>https://doi.org/10.5281/zenodo.7360345</w:t>
              </w:r>
            </w:hyperlink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8" w:val="left" w:leader="none"/>
                <w:tab w:pos="350" w:val="left" w:leader="none"/>
              </w:tabs>
              <w:spacing w:line="302" w:lineRule="exact" w:before="2" w:after="0"/>
              <w:ind w:left="350" w:right="0" w:hanging="284"/>
              <w:jc w:val="both"/>
              <w:rPr>
                <w:rFonts w:ascii="Calibri" w:hAnsi="Calibri"/>
                <w:i/>
                <w:sz w:val="22"/>
              </w:rPr>
            </w:pPr>
            <w:r>
              <w:rPr>
                <w:sz w:val="22"/>
              </w:rPr>
              <w:t>Curelaru M</w:t>
            </w:r>
            <w:r>
              <w:rPr>
                <w:i/>
                <w:sz w:val="22"/>
              </w:rPr>
              <w:t>. Metode cantitative de cercetare. Designuri și aplicații în științele sociale. Iași: </w:t>
            </w:r>
            <w:r>
              <w:rPr>
                <w:sz w:val="22"/>
              </w:rPr>
              <w:t>Polirom, </w:t>
            </w:r>
            <w:r>
              <w:rPr>
                <w:spacing w:val="-2"/>
                <w:sz w:val="22"/>
              </w:rPr>
              <w:t>2022</w:t>
            </w:r>
            <w:r>
              <w:rPr>
                <w:rFonts w:ascii="Calibri" w:hAnsi="Calibri"/>
                <w:i/>
                <w:spacing w:val="-2"/>
                <w:sz w:val="22"/>
              </w:rPr>
              <w:t>.</w:t>
            </w:r>
          </w:p>
        </w:tc>
      </w:tr>
    </w:tbl>
    <w:sectPr>
      <w:type w:val="continuous"/>
      <w:pgSz w:w="11910" w:h="16840"/>
      <w:pgMar w:top="4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64" w:hanging="22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67" w:hanging="226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175" w:hanging="226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82" w:hanging="226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990" w:hanging="226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898" w:hanging="226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805" w:hanging="226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713" w:hanging="226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620" w:hanging="226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39" w:hanging="361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239" w:hanging="361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138" w:hanging="361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038" w:hanging="361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938" w:hanging="361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837" w:hanging="361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737" w:hanging="361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636" w:hanging="361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spacing w:before="70" w:after="2"/>
      <w:ind w:left="2723" w:right="4493" w:firstLine="744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doi.org/10.5281/zenodo.7360345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2026-04-08T14:33:59Z</dcterms:created>
  <dcterms:modified xsi:type="dcterms:W3CDTF">2026-04-08T14:33:59Z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