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Aprobat:Consiliul</w:t>
      </w:r>
      <w:r>
        <w:rPr>
          <w:spacing w:val="-10"/>
        </w:rPr>
        <w:t> </w:t>
      </w:r>
      <w:r>
        <w:rPr/>
        <w:t>Științific</w:t>
      </w:r>
      <w:r>
        <w:rPr>
          <w:spacing w:val="-13"/>
        </w:rPr>
        <w:t> </w:t>
      </w:r>
      <w:r>
        <w:rPr/>
        <w:t>al USM</w:t>
      </w:r>
      <w:r>
        <w:rPr>
          <w:spacing w:val="-5"/>
        </w:rPr>
        <w:t> </w:t>
      </w:r>
      <w:r>
        <w:rPr/>
        <w:t>Proces</w:t>
      </w:r>
      <w:r>
        <w:rPr>
          <w:spacing w:val="-6"/>
        </w:rPr>
        <w:t> </w:t>
      </w:r>
      <w:r>
        <w:rPr/>
        <w:t>verbal</w:t>
      </w:r>
      <w:r>
        <w:rPr>
          <w:spacing w:val="-5"/>
        </w:rPr>
        <w:t> </w:t>
      </w:r>
      <w:r>
        <w:rPr/>
        <w:t>nr.</w:t>
      </w:r>
      <w:r>
        <w:rPr>
          <w:spacing w:val="1"/>
        </w:rPr>
        <w:t> </w:t>
      </w:r>
      <w:r>
        <w:rPr/>
        <w:t>1,</w:t>
      </w:r>
      <w:r>
        <w:rPr>
          <w:spacing w:val="-1"/>
        </w:rPr>
        <w:t> </w:t>
      </w:r>
      <w:r>
        <w:rPr/>
        <w:t>din</w:t>
      </w:r>
      <w:r>
        <w:rPr>
          <w:spacing w:val="-8"/>
        </w:rPr>
        <w:t> </w:t>
      </w:r>
      <w:r>
        <w:rPr>
          <w:spacing w:val="-2"/>
        </w:rPr>
        <w:t>30.11.22</w:t>
      </w:r>
    </w:p>
    <w:tbl>
      <w:tblPr>
        <w:tblW w:w="0" w:type="auto"/>
        <w:jc w:val="left"/>
        <w:tblInd w:w="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7"/>
        <w:gridCol w:w="710"/>
        <w:gridCol w:w="754"/>
        <w:gridCol w:w="2036"/>
        <w:gridCol w:w="2430"/>
        <w:gridCol w:w="1355"/>
        <w:gridCol w:w="2161"/>
      </w:tblGrid>
      <w:tr>
        <w:trPr>
          <w:trHeight w:val="503" w:hRule="atLeast"/>
        </w:trPr>
        <w:tc>
          <w:tcPr>
            <w:tcW w:w="2621" w:type="dxa"/>
            <w:gridSpan w:val="3"/>
          </w:tcPr>
          <w:p>
            <w:pPr>
              <w:pStyle w:val="TableParagraph"/>
              <w:spacing w:line="230" w:lineRule="exact"/>
              <w:rPr>
                <w:sz w:val="22"/>
              </w:rPr>
            </w:pPr>
            <w:r>
              <w:rPr>
                <w:sz w:val="22"/>
              </w:rPr>
              <w:t>Denumirea</w:t>
            </w:r>
            <w:r>
              <w:rPr>
                <w:spacing w:val="-12"/>
                <w:sz w:val="22"/>
              </w:rPr>
              <w:t> </w:t>
            </w:r>
            <w:r>
              <w:rPr>
                <w:spacing w:val="-2"/>
                <w:sz w:val="22"/>
              </w:rPr>
              <w:t>disciplinei</w:t>
            </w:r>
          </w:p>
        </w:tc>
        <w:tc>
          <w:tcPr>
            <w:tcW w:w="7982" w:type="dxa"/>
            <w:gridSpan w:val="4"/>
          </w:tcPr>
          <w:p>
            <w:pPr>
              <w:pStyle w:val="TableParagraph"/>
              <w:spacing w:line="249" w:lineRule="exact"/>
              <w:ind w:left="5" w:right="-15"/>
              <w:rPr>
                <w:b/>
                <w:sz w:val="22"/>
              </w:rPr>
            </w:pPr>
            <w:r>
              <w:rPr>
                <w:b/>
                <w:sz w:val="22"/>
              </w:rPr>
              <w:t>S.02.O.6.</w:t>
            </w:r>
            <w:r>
              <w:rPr>
                <w:b/>
                <w:spacing w:val="28"/>
                <w:sz w:val="22"/>
              </w:rPr>
              <w:t> </w:t>
            </w:r>
            <w:r>
              <w:rPr>
                <w:b/>
                <w:sz w:val="22"/>
              </w:rPr>
              <w:t>Tehnici</w:t>
            </w:r>
            <w:r>
              <w:rPr>
                <w:b/>
                <w:spacing w:val="31"/>
                <w:sz w:val="22"/>
              </w:rPr>
              <w:t> </w:t>
            </w:r>
            <w:r>
              <w:rPr>
                <w:b/>
                <w:sz w:val="22"/>
              </w:rPr>
              <w:t>și</w:t>
            </w:r>
            <w:r>
              <w:rPr>
                <w:b/>
                <w:spacing w:val="31"/>
                <w:sz w:val="22"/>
              </w:rPr>
              <w:t> </w:t>
            </w:r>
            <w:r>
              <w:rPr>
                <w:b/>
                <w:sz w:val="22"/>
              </w:rPr>
              <w:t>instrumente</w:t>
            </w:r>
            <w:r>
              <w:rPr>
                <w:b/>
                <w:spacing w:val="32"/>
                <w:sz w:val="22"/>
              </w:rPr>
              <w:t> </w:t>
            </w:r>
            <w:r>
              <w:rPr>
                <w:b/>
                <w:sz w:val="22"/>
              </w:rPr>
              <w:t>de</w:t>
            </w:r>
            <w:r>
              <w:rPr>
                <w:b/>
                <w:spacing w:val="32"/>
                <w:sz w:val="22"/>
              </w:rPr>
              <w:t> </w:t>
            </w:r>
            <w:r>
              <w:rPr>
                <w:b/>
                <w:sz w:val="22"/>
              </w:rPr>
              <w:t>cercetare</w:t>
            </w:r>
            <w:r>
              <w:rPr>
                <w:b/>
                <w:spacing w:val="31"/>
                <w:sz w:val="22"/>
              </w:rPr>
              <w:t> </w:t>
            </w:r>
            <w:r>
              <w:rPr>
                <w:b/>
                <w:sz w:val="22"/>
              </w:rPr>
              <w:t>științifică</w:t>
            </w:r>
            <w:r>
              <w:rPr>
                <w:b/>
                <w:spacing w:val="29"/>
                <w:sz w:val="22"/>
              </w:rPr>
              <w:t> </w:t>
            </w:r>
            <w:r>
              <w:rPr>
                <w:b/>
                <w:sz w:val="22"/>
              </w:rPr>
              <w:t>în</w:t>
            </w:r>
            <w:r>
              <w:rPr>
                <w:b/>
                <w:spacing w:val="32"/>
                <w:sz w:val="22"/>
              </w:rPr>
              <w:t> </w:t>
            </w:r>
            <w:r>
              <w:rPr>
                <w:b/>
                <w:sz w:val="22"/>
              </w:rPr>
              <w:t>domeniul</w:t>
            </w:r>
            <w:r>
              <w:rPr>
                <w:b/>
                <w:spacing w:val="31"/>
                <w:sz w:val="22"/>
              </w:rPr>
              <w:t> </w:t>
            </w:r>
            <w:r>
              <w:rPr>
                <w:b/>
                <w:sz w:val="22"/>
              </w:rPr>
              <w:t>organizării</w:t>
            </w:r>
            <w:r>
              <w:rPr>
                <w:b/>
                <w:spacing w:val="31"/>
                <w:sz w:val="22"/>
              </w:rPr>
              <w:t> </w:t>
            </w:r>
            <w:r>
              <w:rPr>
                <w:b/>
                <w:spacing w:val="-5"/>
                <w:sz w:val="22"/>
              </w:rPr>
              <w:t>și</w:t>
            </w:r>
          </w:p>
          <w:p>
            <w:pPr>
              <w:pStyle w:val="TableParagraph"/>
              <w:spacing w:line="233" w:lineRule="exact" w:before="1"/>
              <w:ind w:left="5"/>
              <w:rPr>
                <w:b/>
                <w:sz w:val="22"/>
              </w:rPr>
            </w:pPr>
            <w:r>
              <w:rPr>
                <w:b/>
                <w:sz w:val="22"/>
              </w:rPr>
              <w:t>dirijării</w:t>
            </w:r>
            <w:r>
              <w:rPr>
                <w:b/>
                <w:spacing w:val="-9"/>
                <w:sz w:val="22"/>
              </w:rPr>
              <w:t> </w:t>
            </w:r>
            <w:r>
              <w:rPr>
                <w:b/>
                <w:sz w:val="22"/>
              </w:rPr>
              <w:t>în</w:t>
            </w:r>
            <w:r>
              <w:rPr>
                <w:b/>
                <w:spacing w:val="-10"/>
                <w:sz w:val="22"/>
              </w:rPr>
              <w:t> </w:t>
            </w:r>
            <w:r>
              <w:rPr>
                <w:b/>
                <w:sz w:val="22"/>
              </w:rPr>
              <w:t>instituțiile</w:t>
            </w:r>
            <w:r>
              <w:rPr>
                <w:b/>
                <w:spacing w:val="-5"/>
                <w:sz w:val="22"/>
              </w:rPr>
              <w:t> </w:t>
            </w:r>
            <w:r>
              <w:rPr>
                <w:b/>
                <w:sz w:val="22"/>
              </w:rPr>
              <w:t>administrației</w:t>
            </w:r>
            <w:r>
              <w:rPr>
                <w:b/>
                <w:spacing w:val="-2"/>
                <w:sz w:val="22"/>
              </w:rPr>
              <w:t> </w:t>
            </w:r>
            <w:r>
              <w:rPr>
                <w:b/>
                <w:sz w:val="22"/>
              </w:rPr>
              <w:t>publice</w:t>
            </w:r>
            <w:r>
              <w:rPr>
                <w:b/>
                <w:spacing w:val="-5"/>
                <w:sz w:val="22"/>
              </w:rPr>
              <w:t> </w:t>
            </w:r>
            <w:r>
              <w:rPr>
                <w:b/>
                <w:sz w:val="22"/>
              </w:rPr>
              <w:t>și</w:t>
            </w:r>
            <w:r>
              <w:rPr>
                <w:b/>
                <w:spacing w:val="-5"/>
                <w:sz w:val="22"/>
              </w:rPr>
              <w:t> </w:t>
            </w:r>
            <w:r>
              <w:rPr>
                <w:b/>
                <w:sz w:val="22"/>
              </w:rPr>
              <w:t>în</w:t>
            </w:r>
            <w:r>
              <w:rPr>
                <w:b/>
                <w:spacing w:val="-11"/>
                <w:sz w:val="22"/>
              </w:rPr>
              <w:t> </w:t>
            </w:r>
            <w:r>
              <w:rPr>
                <w:b/>
                <w:sz w:val="22"/>
              </w:rPr>
              <w:t>serviciile</w:t>
            </w:r>
            <w:r>
              <w:rPr>
                <w:b/>
                <w:spacing w:val="-4"/>
                <w:sz w:val="22"/>
              </w:rPr>
              <w:t> </w:t>
            </w:r>
            <w:r>
              <w:rPr>
                <w:b/>
                <w:spacing w:val="-2"/>
                <w:sz w:val="22"/>
              </w:rPr>
              <w:t>publice</w:t>
            </w:r>
          </w:p>
        </w:tc>
      </w:tr>
      <w:tr>
        <w:trPr>
          <w:trHeight w:val="316" w:hRule="atLeast"/>
        </w:trPr>
        <w:tc>
          <w:tcPr>
            <w:tcW w:w="2621" w:type="dxa"/>
            <w:gridSpan w:val="3"/>
          </w:tcPr>
          <w:p>
            <w:pPr>
              <w:pStyle w:val="TableParagraph"/>
              <w:spacing w:line="230" w:lineRule="exact"/>
              <w:rPr>
                <w:sz w:val="22"/>
              </w:rPr>
            </w:pPr>
            <w:r>
              <w:rPr>
                <w:sz w:val="22"/>
              </w:rPr>
              <w:t>Conducători</w:t>
            </w:r>
            <w:r>
              <w:rPr>
                <w:spacing w:val="-6"/>
                <w:sz w:val="22"/>
              </w:rPr>
              <w:t> </w:t>
            </w:r>
            <w:r>
              <w:rPr>
                <w:sz w:val="22"/>
              </w:rPr>
              <w:t>de</w:t>
            </w:r>
            <w:r>
              <w:rPr>
                <w:spacing w:val="-3"/>
                <w:sz w:val="22"/>
              </w:rPr>
              <w:t> </w:t>
            </w:r>
            <w:r>
              <w:rPr>
                <w:spacing w:val="-2"/>
                <w:sz w:val="22"/>
              </w:rPr>
              <w:t>doctorat</w:t>
            </w:r>
          </w:p>
        </w:tc>
        <w:tc>
          <w:tcPr>
            <w:tcW w:w="7982" w:type="dxa"/>
            <w:gridSpan w:val="4"/>
          </w:tcPr>
          <w:p>
            <w:pPr>
              <w:pStyle w:val="TableParagraph"/>
              <w:spacing w:line="249" w:lineRule="exact"/>
              <w:rPr>
                <w:sz w:val="22"/>
              </w:rPr>
            </w:pPr>
            <w:r>
              <w:rPr>
                <w:sz w:val="22"/>
              </w:rPr>
              <w:t>T.</w:t>
            </w:r>
            <w:r>
              <w:rPr>
                <w:spacing w:val="-6"/>
                <w:sz w:val="22"/>
              </w:rPr>
              <w:t> </w:t>
            </w:r>
            <w:r>
              <w:rPr>
                <w:sz w:val="22"/>
              </w:rPr>
              <w:t>Tofan,</w:t>
            </w:r>
            <w:r>
              <w:rPr>
                <w:spacing w:val="-1"/>
                <w:sz w:val="22"/>
              </w:rPr>
              <w:t> </w:t>
            </w:r>
            <w:r>
              <w:rPr>
                <w:sz w:val="22"/>
              </w:rPr>
              <w:t>dr.</w:t>
            </w:r>
            <w:r>
              <w:rPr>
                <w:spacing w:val="-6"/>
                <w:sz w:val="22"/>
              </w:rPr>
              <w:t> </w:t>
            </w:r>
            <w:r>
              <w:rPr>
                <w:sz w:val="22"/>
              </w:rPr>
              <w:t>în</w:t>
            </w:r>
            <w:r>
              <w:rPr>
                <w:spacing w:val="-2"/>
                <w:sz w:val="22"/>
              </w:rPr>
              <w:t> </w:t>
            </w:r>
            <w:r>
              <w:rPr>
                <w:sz w:val="22"/>
              </w:rPr>
              <w:t>ec.,</w:t>
            </w:r>
            <w:r>
              <w:rPr>
                <w:spacing w:val="-1"/>
                <w:sz w:val="22"/>
              </w:rPr>
              <w:t> </w:t>
            </w:r>
            <w:r>
              <w:rPr>
                <w:sz w:val="22"/>
              </w:rPr>
              <w:t>conf.</w:t>
            </w:r>
            <w:r>
              <w:rPr>
                <w:spacing w:val="-1"/>
                <w:sz w:val="22"/>
              </w:rPr>
              <w:t> </w:t>
            </w:r>
            <w:r>
              <w:rPr>
                <w:spacing w:val="-2"/>
                <w:sz w:val="22"/>
              </w:rPr>
              <w:t>univ.</w:t>
            </w:r>
          </w:p>
        </w:tc>
      </w:tr>
      <w:tr>
        <w:trPr>
          <w:trHeight w:val="350" w:hRule="atLeast"/>
        </w:trPr>
        <w:tc>
          <w:tcPr>
            <w:tcW w:w="10603" w:type="dxa"/>
            <w:gridSpan w:val="7"/>
          </w:tcPr>
          <w:p>
            <w:pPr>
              <w:pStyle w:val="TableParagraph"/>
              <w:spacing w:line="249" w:lineRule="exact"/>
              <w:ind w:left="254"/>
              <w:rPr>
                <w:b/>
                <w:sz w:val="22"/>
              </w:rPr>
            </w:pPr>
            <w:r>
              <w:rPr>
                <w:b/>
                <w:sz w:val="22"/>
              </w:rPr>
              <w:t>Ciclul</w:t>
            </w:r>
            <w:r>
              <w:rPr>
                <w:b/>
                <w:spacing w:val="-5"/>
                <w:sz w:val="22"/>
              </w:rPr>
              <w:t> </w:t>
            </w:r>
            <w:r>
              <w:rPr>
                <w:b/>
                <w:sz w:val="22"/>
              </w:rPr>
              <w:t>III,</w:t>
            </w:r>
            <w:r>
              <w:rPr>
                <w:b/>
                <w:spacing w:val="-3"/>
                <w:sz w:val="22"/>
              </w:rPr>
              <w:t> </w:t>
            </w:r>
            <w:r>
              <w:rPr>
                <w:b/>
                <w:spacing w:val="-2"/>
                <w:sz w:val="22"/>
              </w:rPr>
              <w:t>Doctorat</w:t>
            </w:r>
          </w:p>
        </w:tc>
      </w:tr>
      <w:tr>
        <w:trPr>
          <w:trHeight w:val="254" w:hRule="atLeast"/>
        </w:trPr>
        <w:tc>
          <w:tcPr>
            <w:tcW w:w="7087" w:type="dxa"/>
            <w:gridSpan w:val="5"/>
          </w:tcPr>
          <w:p>
            <w:pPr>
              <w:pStyle w:val="TableParagraph"/>
              <w:spacing w:line="230" w:lineRule="exact"/>
              <w:ind w:left="3764"/>
              <w:rPr>
                <w:b/>
                <w:sz w:val="22"/>
              </w:rPr>
            </w:pPr>
            <w:r>
              <w:rPr>
                <w:b/>
                <w:sz w:val="22"/>
              </w:rPr>
              <w:t>Numărul</w:t>
            </w:r>
            <w:r>
              <w:rPr>
                <w:b/>
                <w:spacing w:val="-7"/>
                <w:sz w:val="22"/>
              </w:rPr>
              <w:t> </w:t>
            </w:r>
            <w:r>
              <w:rPr>
                <w:b/>
                <w:sz w:val="22"/>
              </w:rPr>
              <w:t>de</w:t>
            </w:r>
            <w:r>
              <w:rPr>
                <w:b/>
                <w:spacing w:val="-5"/>
                <w:sz w:val="22"/>
              </w:rPr>
              <w:t> ore</w:t>
            </w:r>
          </w:p>
        </w:tc>
        <w:tc>
          <w:tcPr>
            <w:tcW w:w="1355" w:type="dxa"/>
            <w:vMerge w:val="restart"/>
          </w:tcPr>
          <w:p>
            <w:pPr>
              <w:pStyle w:val="TableParagraph"/>
              <w:spacing w:line="237" w:lineRule="auto" w:before="142"/>
              <w:ind w:left="163" w:right="528"/>
              <w:rPr>
                <w:b/>
                <w:sz w:val="22"/>
              </w:rPr>
            </w:pPr>
            <w:r>
              <w:rPr>
                <w:b/>
                <w:sz w:val="22"/>
              </w:rPr>
              <w:t>Nr de </w:t>
            </w:r>
            <w:r>
              <w:rPr>
                <w:b/>
                <w:spacing w:val="-2"/>
                <w:sz w:val="22"/>
              </w:rPr>
              <w:t>credite</w:t>
            </w:r>
          </w:p>
        </w:tc>
        <w:tc>
          <w:tcPr>
            <w:tcW w:w="2161" w:type="dxa"/>
            <w:vMerge w:val="restart"/>
          </w:tcPr>
          <w:p>
            <w:pPr>
              <w:pStyle w:val="TableParagraph"/>
              <w:spacing w:line="230" w:lineRule="exact"/>
              <w:ind w:left="325"/>
              <w:rPr>
                <w:b/>
                <w:sz w:val="22"/>
              </w:rPr>
            </w:pPr>
            <w:r>
              <w:rPr>
                <w:b/>
                <w:sz w:val="22"/>
              </w:rPr>
              <w:t>Forma</w:t>
            </w:r>
            <w:r>
              <w:rPr>
                <w:b/>
                <w:spacing w:val="-6"/>
                <w:sz w:val="22"/>
              </w:rPr>
              <w:t> </w:t>
            </w:r>
            <w:r>
              <w:rPr>
                <w:b/>
                <w:sz w:val="22"/>
              </w:rPr>
              <w:t>de</w:t>
            </w:r>
            <w:r>
              <w:rPr>
                <w:b/>
                <w:spacing w:val="-5"/>
                <w:sz w:val="22"/>
              </w:rPr>
              <w:t> </w:t>
            </w:r>
            <w:r>
              <w:rPr>
                <w:b/>
                <w:spacing w:val="-2"/>
                <w:sz w:val="22"/>
              </w:rPr>
              <w:t>evaluare</w:t>
            </w:r>
          </w:p>
        </w:tc>
      </w:tr>
      <w:tr>
        <w:trPr>
          <w:trHeight w:val="445" w:hRule="atLeast"/>
        </w:trPr>
        <w:tc>
          <w:tcPr>
            <w:tcW w:w="1867" w:type="dxa"/>
            <w:gridSpan w:val="2"/>
          </w:tcPr>
          <w:p>
            <w:pPr>
              <w:pStyle w:val="TableParagraph"/>
              <w:spacing w:line="230" w:lineRule="exact"/>
              <w:ind w:left="887"/>
              <w:rPr>
                <w:b/>
                <w:sz w:val="22"/>
              </w:rPr>
            </w:pPr>
            <w:r>
              <w:rPr>
                <w:b/>
                <w:spacing w:val="-2"/>
                <w:sz w:val="22"/>
              </w:rPr>
              <w:t>Total</w:t>
            </w:r>
          </w:p>
        </w:tc>
        <w:tc>
          <w:tcPr>
            <w:tcW w:w="2790" w:type="dxa"/>
            <w:gridSpan w:val="2"/>
          </w:tcPr>
          <w:p>
            <w:pPr>
              <w:pStyle w:val="TableParagraph"/>
              <w:spacing w:line="230" w:lineRule="exact"/>
              <w:ind w:left="725"/>
              <w:rPr>
                <w:b/>
                <w:sz w:val="22"/>
              </w:rPr>
            </w:pPr>
            <w:r>
              <w:rPr>
                <w:b/>
                <w:sz w:val="22"/>
              </w:rPr>
              <w:t>Contact</w:t>
            </w:r>
            <w:r>
              <w:rPr>
                <w:b/>
                <w:spacing w:val="-9"/>
                <w:sz w:val="22"/>
              </w:rPr>
              <w:t> </w:t>
            </w:r>
            <w:r>
              <w:rPr>
                <w:b/>
                <w:spacing w:val="-2"/>
                <w:sz w:val="22"/>
              </w:rPr>
              <w:t>direct</w:t>
            </w:r>
          </w:p>
        </w:tc>
        <w:tc>
          <w:tcPr>
            <w:tcW w:w="2430" w:type="dxa"/>
          </w:tcPr>
          <w:p>
            <w:pPr>
              <w:pStyle w:val="TableParagraph"/>
              <w:spacing w:line="220" w:lineRule="exact"/>
              <w:ind w:left="739" w:firstLine="153"/>
              <w:rPr>
                <w:b/>
                <w:sz w:val="22"/>
              </w:rPr>
            </w:pPr>
            <w:r>
              <w:rPr>
                <w:b/>
                <w:spacing w:val="-2"/>
                <w:sz w:val="22"/>
              </w:rPr>
              <w:t>Lucrul individual</w:t>
            </w:r>
          </w:p>
        </w:tc>
        <w:tc>
          <w:tcPr>
            <w:tcW w:w="1355" w:type="dxa"/>
            <w:vMerge/>
            <w:tcBorders>
              <w:top w:val="nil"/>
            </w:tcBorders>
          </w:tcPr>
          <w:p>
            <w:pPr>
              <w:rPr>
                <w:sz w:val="2"/>
                <w:szCs w:val="2"/>
              </w:rPr>
            </w:pPr>
          </w:p>
        </w:tc>
        <w:tc>
          <w:tcPr>
            <w:tcW w:w="2161" w:type="dxa"/>
            <w:vMerge/>
            <w:tcBorders>
              <w:top w:val="nil"/>
            </w:tcBorders>
          </w:tcPr>
          <w:p>
            <w:pPr>
              <w:rPr>
                <w:sz w:val="2"/>
                <w:szCs w:val="2"/>
              </w:rPr>
            </w:pPr>
          </w:p>
        </w:tc>
      </w:tr>
      <w:tr>
        <w:trPr>
          <w:trHeight w:val="268" w:hRule="atLeast"/>
        </w:trPr>
        <w:tc>
          <w:tcPr>
            <w:tcW w:w="1867" w:type="dxa"/>
            <w:gridSpan w:val="2"/>
          </w:tcPr>
          <w:p>
            <w:pPr>
              <w:pStyle w:val="TableParagraph"/>
              <w:spacing w:line="230" w:lineRule="exact"/>
              <w:ind w:left="19"/>
              <w:jc w:val="center"/>
              <w:rPr>
                <w:sz w:val="22"/>
              </w:rPr>
            </w:pPr>
            <w:r>
              <w:rPr>
                <w:spacing w:val="-5"/>
                <w:sz w:val="22"/>
              </w:rPr>
              <w:t>180</w:t>
            </w:r>
          </w:p>
        </w:tc>
        <w:tc>
          <w:tcPr>
            <w:tcW w:w="2790" w:type="dxa"/>
            <w:gridSpan w:val="2"/>
          </w:tcPr>
          <w:p>
            <w:pPr>
              <w:pStyle w:val="TableParagraph"/>
              <w:spacing w:line="230" w:lineRule="exact"/>
              <w:ind w:left="25"/>
              <w:jc w:val="center"/>
              <w:rPr>
                <w:sz w:val="22"/>
              </w:rPr>
            </w:pPr>
            <w:r>
              <w:rPr>
                <w:spacing w:val="-5"/>
                <w:sz w:val="22"/>
              </w:rPr>
              <w:t>10</w:t>
            </w:r>
          </w:p>
        </w:tc>
        <w:tc>
          <w:tcPr>
            <w:tcW w:w="2430" w:type="dxa"/>
          </w:tcPr>
          <w:p>
            <w:pPr>
              <w:pStyle w:val="TableParagraph"/>
              <w:spacing w:line="230" w:lineRule="exact"/>
              <w:ind w:left="24"/>
              <w:jc w:val="center"/>
              <w:rPr>
                <w:sz w:val="22"/>
              </w:rPr>
            </w:pPr>
            <w:r>
              <w:rPr>
                <w:spacing w:val="-5"/>
                <w:sz w:val="22"/>
              </w:rPr>
              <w:t>170</w:t>
            </w:r>
          </w:p>
        </w:tc>
        <w:tc>
          <w:tcPr>
            <w:tcW w:w="1355" w:type="dxa"/>
          </w:tcPr>
          <w:p>
            <w:pPr>
              <w:pStyle w:val="TableParagraph"/>
              <w:spacing w:line="230" w:lineRule="exact"/>
              <w:ind w:left="17"/>
              <w:jc w:val="center"/>
              <w:rPr>
                <w:sz w:val="22"/>
              </w:rPr>
            </w:pPr>
            <w:r>
              <w:rPr>
                <w:spacing w:val="-10"/>
                <w:sz w:val="22"/>
              </w:rPr>
              <w:t>6</w:t>
            </w:r>
          </w:p>
        </w:tc>
        <w:tc>
          <w:tcPr>
            <w:tcW w:w="2161" w:type="dxa"/>
          </w:tcPr>
          <w:p>
            <w:pPr>
              <w:pStyle w:val="TableParagraph"/>
              <w:spacing w:line="230" w:lineRule="exact"/>
              <w:ind w:left="1036"/>
              <w:rPr>
                <w:sz w:val="22"/>
              </w:rPr>
            </w:pPr>
            <w:r>
              <w:rPr>
                <w:spacing w:val="-2"/>
                <w:sz w:val="22"/>
              </w:rPr>
              <w:t>Examen</w:t>
            </w:r>
          </w:p>
        </w:tc>
      </w:tr>
      <w:tr>
        <w:trPr>
          <w:trHeight w:val="4128" w:hRule="atLeast"/>
        </w:trPr>
        <w:tc>
          <w:tcPr>
            <w:tcW w:w="1157" w:type="dxa"/>
          </w:tcPr>
          <w:p>
            <w:pPr>
              <w:pStyle w:val="TableParagraph"/>
              <w:spacing w:line="283" w:lineRule="auto" w:before="1"/>
              <w:ind w:right="249"/>
              <w:rPr>
                <w:b/>
                <w:sz w:val="22"/>
              </w:rPr>
            </w:pPr>
            <w:r>
              <w:rPr>
                <w:b/>
                <w:spacing w:val="-2"/>
                <w:sz w:val="22"/>
              </w:rPr>
              <w:t>Funda- mentare</w:t>
            </w:r>
          </w:p>
        </w:tc>
        <w:tc>
          <w:tcPr>
            <w:tcW w:w="9446" w:type="dxa"/>
            <w:gridSpan w:val="6"/>
          </w:tcPr>
          <w:p>
            <w:pPr>
              <w:pStyle w:val="TableParagraph"/>
              <w:spacing w:before="35"/>
              <w:ind w:left="0"/>
              <w:rPr>
                <w:b/>
                <w:sz w:val="22"/>
              </w:rPr>
            </w:pPr>
          </w:p>
          <w:p>
            <w:pPr>
              <w:pStyle w:val="TableParagraph"/>
              <w:spacing w:line="276" w:lineRule="auto" w:before="1"/>
              <w:ind w:left="220" w:right="211"/>
              <w:jc w:val="both"/>
              <w:rPr>
                <w:sz w:val="22"/>
              </w:rPr>
            </w:pPr>
            <w:r>
              <w:rPr>
                <w:sz w:val="22"/>
              </w:rPr>
              <w:t>Scopul</w:t>
            </w:r>
            <w:r>
              <w:rPr>
                <w:spacing w:val="-14"/>
                <w:sz w:val="22"/>
              </w:rPr>
              <w:t> </w:t>
            </w:r>
            <w:r>
              <w:rPr>
                <w:sz w:val="22"/>
              </w:rPr>
              <w:t>disciplinii</w:t>
            </w:r>
            <w:r>
              <w:rPr>
                <w:spacing w:val="-14"/>
                <w:sz w:val="22"/>
              </w:rPr>
              <w:t> </w:t>
            </w:r>
            <w:r>
              <w:rPr>
                <w:sz w:val="22"/>
              </w:rPr>
              <w:t>constă</w:t>
            </w:r>
            <w:r>
              <w:rPr>
                <w:spacing w:val="-10"/>
                <w:sz w:val="22"/>
              </w:rPr>
              <w:t> </w:t>
            </w:r>
            <w:r>
              <w:rPr>
                <w:sz w:val="22"/>
              </w:rPr>
              <w:t>în</w:t>
            </w:r>
            <w:r>
              <w:rPr>
                <w:spacing w:val="-14"/>
                <w:sz w:val="22"/>
              </w:rPr>
              <w:t> </w:t>
            </w:r>
            <w:r>
              <w:rPr>
                <w:sz w:val="22"/>
              </w:rPr>
              <w:t>formarea</w:t>
            </w:r>
            <w:r>
              <w:rPr>
                <w:spacing w:val="-8"/>
                <w:sz w:val="22"/>
              </w:rPr>
              <w:t> </w:t>
            </w:r>
            <w:r>
              <w:rPr>
                <w:sz w:val="22"/>
              </w:rPr>
              <w:t>unei</w:t>
            </w:r>
            <w:r>
              <w:rPr>
                <w:spacing w:val="-14"/>
                <w:sz w:val="22"/>
              </w:rPr>
              <w:t> </w:t>
            </w:r>
            <w:r>
              <w:rPr>
                <w:sz w:val="22"/>
              </w:rPr>
              <w:t>viziuni</w:t>
            </w:r>
            <w:r>
              <w:rPr>
                <w:spacing w:val="-10"/>
                <w:sz w:val="22"/>
              </w:rPr>
              <w:t> </w:t>
            </w:r>
            <w:r>
              <w:rPr>
                <w:sz w:val="22"/>
              </w:rPr>
              <w:t>de</w:t>
            </w:r>
            <w:r>
              <w:rPr>
                <w:spacing w:val="-14"/>
                <w:sz w:val="22"/>
              </w:rPr>
              <w:t> </w:t>
            </w:r>
            <w:r>
              <w:rPr>
                <w:sz w:val="22"/>
              </w:rPr>
              <w:t>ansamblu</w:t>
            </w:r>
            <w:r>
              <w:rPr>
                <w:spacing w:val="-11"/>
                <w:sz w:val="22"/>
              </w:rPr>
              <w:t> </w:t>
            </w:r>
            <w:r>
              <w:rPr>
                <w:sz w:val="22"/>
              </w:rPr>
              <w:t>asupra</w:t>
            </w:r>
            <w:r>
              <w:rPr>
                <w:spacing w:val="-14"/>
                <w:sz w:val="22"/>
              </w:rPr>
              <w:t> </w:t>
            </w:r>
            <w:r>
              <w:rPr>
                <w:sz w:val="22"/>
              </w:rPr>
              <w:t>cercetării</w:t>
            </w:r>
            <w:r>
              <w:rPr>
                <w:spacing w:val="-14"/>
                <w:sz w:val="22"/>
              </w:rPr>
              <w:t> </w:t>
            </w:r>
            <w:r>
              <w:rPr>
                <w:sz w:val="22"/>
              </w:rPr>
              <w:t>în</w:t>
            </w:r>
            <w:r>
              <w:rPr>
                <w:spacing w:val="-14"/>
                <w:sz w:val="22"/>
              </w:rPr>
              <w:t> </w:t>
            </w:r>
            <w:r>
              <w:rPr>
                <w:sz w:val="22"/>
              </w:rPr>
              <w:t>domeniul</w:t>
            </w:r>
            <w:r>
              <w:rPr>
                <w:spacing w:val="-7"/>
                <w:sz w:val="22"/>
              </w:rPr>
              <w:t> </w:t>
            </w:r>
            <w:r>
              <w:rPr>
                <w:sz w:val="22"/>
              </w:rPr>
              <w:t>organizării și dirijării în instituțiile administrației publice și în serviciile publice. Studenții-doctoranzi vor fi familiarizați</w:t>
            </w:r>
            <w:r>
              <w:rPr>
                <w:spacing w:val="-16"/>
                <w:sz w:val="22"/>
              </w:rPr>
              <w:t> </w:t>
            </w:r>
            <w:r>
              <w:rPr>
                <w:sz w:val="22"/>
              </w:rPr>
              <w:t>cu</w:t>
            </w:r>
            <w:r>
              <w:rPr>
                <w:spacing w:val="-14"/>
                <w:sz w:val="22"/>
              </w:rPr>
              <w:t> </w:t>
            </w:r>
            <w:r>
              <w:rPr>
                <w:sz w:val="22"/>
              </w:rPr>
              <w:t>cele</w:t>
            </w:r>
            <w:r>
              <w:rPr>
                <w:spacing w:val="-14"/>
                <w:sz w:val="22"/>
              </w:rPr>
              <w:t> </w:t>
            </w:r>
            <w:r>
              <w:rPr>
                <w:sz w:val="22"/>
              </w:rPr>
              <w:t>mai</w:t>
            </w:r>
            <w:r>
              <w:rPr>
                <w:spacing w:val="-13"/>
                <w:sz w:val="22"/>
              </w:rPr>
              <w:t> </w:t>
            </w:r>
            <w:r>
              <w:rPr>
                <w:sz w:val="22"/>
              </w:rPr>
              <w:t>importante</w:t>
            </w:r>
            <w:r>
              <w:rPr>
                <w:spacing w:val="-14"/>
                <w:sz w:val="22"/>
              </w:rPr>
              <w:t> </w:t>
            </w:r>
            <w:r>
              <w:rPr>
                <w:sz w:val="22"/>
              </w:rPr>
              <w:t>achiziții</w:t>
            </w:r>
            <w:r>
              <w:rPr>
                <w:spacing w:val="-14"/>
                <w:sz w:val="22"/>
              </w:rPr>
              <w:t> </w:t>
            </w:r>
            <w:r>
              <w:rPr>
                <w:sz w:val="22"/>
              </w:rPr>
              <w:t>teoretice,</w:t>
            </w:r>
            <w:r>
              <w:rPr>
                <w:spacing w:val="-14"/>
                <w:sz w:val="22"/>
              </w:rPr>
              <w:t> </w:t>
            </w:r>
            <w:r>
              <w:rPr>
                <w:sz w:val="22"/>
              </w:rPr>
              <w:t>metodologice</w:t>
            </w:r>
            <w:r>
              <w:rPr>
                <w:spacing w:val="-13"/>
                <w:sz w:val="22"/>
              </w:rPr>
              <w:t> </w:t>
            </w:r>
            <w:r>
              <w:rPr>
                <w:sz w:val="22"/>
              </w:rPr>
              <w:t>și</w:t>
            </w:r>
            <w:r>
              <w:rPr>
                <w:spacing w:val="-14"/>
                <w:sz w:val="22"/>
              </w:rPr>
              <w:t> </w:t>
            </w:r>
            <w:r>
              <w:rPr>
                <w:sz w:val="22"/>
              </w:rPr>
              <w:t>empirice</w:t>
            </w:r>
            <w:r>
              <w:rPr>
                <w:spacing w:val="-14"/>
                <w:sz w:val="22"/>
              </w:rPr>
              <w:t> </w:t>
            </w:r>
            <w:r>
              <w:rPr>
                <w:sz w:val="22"/>
              </w:rPr>
              <w:t>referitoare</w:t>
            </w:r>
            <w:r>
              <w:rPr>
                <w:spacing w:val="-14"/>
                <w:sz w:val="22"/>
              </w:rPr>
              <w:t> </w:t>
            </w:r>
            <w:r>
              <w:rPr>
                <w:sz w:val="22"/>
              </w:rPr>
              <w:t>la</w:t>
            </w:r>
            <w:r>
              <w:rPr>
                <w:spacing w:val="-13"/>
                <w:sz w:val="22"/>
              </w:rPr>
              <w:t> </w:t>
            </w:r>
            <w:r>
              <w:rPr>
                <w:sz w:val="22"/>
              </w:rPr>
              <w:t>specificul cercetării</w:t>
            </w:r>
            <w:r>
              <w:rPr>
                <w:spacing w:val="-7"/>
                <w:sz w:val="22"/>
              </w:rPr>
              <w:t> </w:t>
            </w:r>
            <w:r>
              <w:rPr>
                <w:sz w:val="22"/>
              </w:rPr>
              <w:t>în</w:t>
            </w:r>
            <w:r>
              <w:rPr>
                <w:spacing w:val="-8"/>
                <w:sz w:val="22"/>
              </w:rPr>
              <w:t> </w:t>
            </w:r>
            <w:r>
              <w:rPr>
                <w:sz w:val="22"/>
              </w:rPr>
              <w:t>organizării</w:t>
            </w:r>
            <w:r>
              <w:rPr>
                <w:spacing w:val="-7"/>
                <w:sz w:val="22"/>
              </w:rPr>
              <w:t> </w:t>
            </w:r>
            <w:r>
              <w:rPr>
                <w:sz w:val="22"/>
              </w:rPr>
              <w:t>și</w:t>
            </w:r>
            <w:r>
              <w:rPr>
                <w:spacing w:val="-7"/>
                <w:sz w:val="22"/>
              </w:rPr>
              <w:t> </w:t>
            </w:r>
            <w:r>
              <w:rPr>
                <w:sz w:val="22"/>
              </w:rPr>
              <w:t>dirijării</w:t>
            </w:r>
            <w:r>
              <w:rPr>
                <w:spacing w:val="-3"/>
                <w:sz w:val="22"/>
              </w:rPr>
              <w:t> </w:t>
            </w:r>
            <w:r>
              <w:rPr>
                <w:sz w:val="22"/>
              </w:rPr>
              <w:t>în</w:t>
            </w:r>
            <w:r>
              <w:rPr>
                <w:spacing w:val="-9"/>
                <w:sz w:val="22"/>
              </w:rPr>
              <w:t> </w:t>
            </w:r>
            <w:r>
              <w:rPr>
                <w:sz w:val="22"/>
              </w:rPr>
              <w:t>instituțiile</w:t>
            </w:r>
            <w:r>
              <w:rPr>
                <w:spacing w:val="-11"/>
                <w:sz w:val="22"/>
              </w:rPr>
              <w:t> </w:t>
            </w:r>
            <w:r>
              <w:rPr>
                <w:sz w:val="22"/>
              </w:rPr>
              <w:t>administrației</w:t>
            </w:r>
            <w:r>
              <w:rPr>
                <w:spacing w:val="-7"/>
                <w:sz w:val="22"/>
              </w:rPr>
              <w:t> </w:t>
            </w:r>
            <w:r>
              <w:rPr>
                <w:sz w:val="22"/>
              </w:rPr>
              <w:t>publice</w:t>
            </w:r>
            <w:r>
              <w:rPr>
                <w:spacing w:val="-11"/>
                <w:sz w:val="22"/>
              </w:rPr>
              <w:t> </w:t>
            </w:r>
            <w:r>
              <w:rPr>
                <w:sz w:val="22"/>
              </w:rPr>
              <w:t>și</w:t>
            </w:r>
            <w:r>
              <w:rPr>
                <w:spacing w:val="-2"/>
                <w:sz w:val="22"/>
              </w:rPr>
              <w:t> </w:t>
            </w:r>
            <w:r>
              <w:rPr>
                <w:sz w:val="22"/>
              </w:rPr>
              <w:t>în</w:t>
            </w:r>
            <w:r>
              <w:rPr>
                <w:spacing w:val="-9"/>
                <w:sz w:val="22"/>
              </w:rPr>
              <w:t> </w:t>
            </w:r>
            <w:r>
              <w:rPr>
                <w:sz w:val="22"/>
              </w:rPr>
              <w:t>serviciile</w:t>
            </w:r>
            <w:r>
              <w:rPr>
                <w:spacing w:val="-11"/>
                <w:sz w:val="22"/>
              </w:rPr>
              <w:t> </w:t>
            </w:r>
            <w:r>
              <w:rPr>
                <w:sz w:val="22"/>
              </w:rPr>
              <w:t>publice.</w:t>
            </w:r>
            <w:r>
              <w:rPr>
                <w:spacing w:val="-2"/>
                <w:sz w:val="22"/>
              </w:rPr>
              <w:t> </w:t>
            </w:r>
            <w:r>
              <w:rPr>
                <w:sz w:val="22"/>
              </w:rPr>
              <w:t>Cursul</w:t>
            </w:r>
            <w:r>
              <w:rPr>
                <w:spacing w:val="-7"/>
                <w:sz w:val="22"/>
              </w:rPr>
              <w:t> </w:t>
            </w:r>
            <w:r>
              <w:rPr>
                <w:sz w:val="22"/>
              </w:rPr>
              <w:t>va oferi</w:t>
            </w:r>
            <w:r>
              <w:rPr>
                <w:spacing w:val="-14"/>
                <w:sz w:val="22"/>
              </w:rPr>
              <w:t> </w:t>
            </w:r>
            <w:r>
              <w:rPr>
                <w:sz w:val="22"/>
              </w:rPr>
              <w:t>posibilitatea</w:t>
            </w:r>
            <w:r>
              <w:rPr>
                <w:spacing w:val="-12"/>
                <w:sz w:val="22"/>
              </w:rPr>
              <w:t> </w:t>
            </w:r>
            <w:r>
              <w:rPr>
                <w:sz w:val="22"/>
              </w:rPr>
              <w:t>cunoașterii</w:t>
            </w:r>
            <w:r>
              <w:rPr>
                <w:spacing w:val="-14"/>
                <w:sz w:val="22"/>
              </w:rPr>
              <w:t> </w:t>
            </w:r>
            <w:r>
              <w:rPr>
                <w:sz w:val="22"/>
              </w:rPr>
              <w:t>specificului</w:t>
            </w:r>
            <w:r>
              <w:rPr>
                <w:spacing w:val="-10"/>
                <w:sz w:val="22"/>
              </w:rPr>
              <w:t> </w:t>
            </w:r>
            <w:r>
              <w:rPr>
                <w:sz w:val="22"/>
              </w:rPr>
              <w:t>cercetării</w:t>
            </w:r>
            <w:r>
              <w:rPr>
                <w:spacing w:val="-14"/>
                <w:sz w:val="22"/>
              </w:rPr>
              <w:t> </w:t>
            </w:r>
            <w:r>
              <w:rPr>
                <w:sz w:val="22"/>
              </w:rPr>
              <w:t>în</w:t>
            </w:r>
            <w:r>
              <w:rPr>
                <w:spacing w:val="-14"/>
                <w:sz w:val="22"/>
              </w:rPr>
              <w:t> </w:t>
            </w:r>
            <w:r>
              <w:rPr>
                <w:sz w:val="22"/>
              </w:rPr>
              <w:t>organizării</w:t>
            </w:r>
            <w:r>
              <w:rPr>
                <w:spacing w:val="-13"/>
                <w:sz w:val="22"/>
              </w:rPr>
              <w:t> </w:t>
            </w:r>
            <w:r>
              <w:rPr>
                <w:sz w:val="22"/>
              </w:rPr>
              <w:t>și</w:t>
            </w:r>
            <w:r>
              <w:rPr>
                <w:spacing w:val="-14"/>
                <w:sz w:val="22"/>
              </w:rPr>
              <w:t> </w:t>
            </w:r>
            <w:r>
              <w:rPr>
                <w:sz w:val="22"/>
              </w:rPr>
              <w:t>dirijării</w:t>
            </w:r>
            <w:r>
              <w:rPr>
                <w:spacing w:val="-14"/>
                <w:sz w:val="22"/>
              </w:rPr>
              <w:t> </w:t>
            </w:r>
            <w:r>
              <w:rPr>
                <w:sz w:val="22"/>
              </w:rPr>
              <w:t>în</w:t>
            </w:r>
            <w:r>
              <w:rPr>
                <w:spacing w:val="-14"/>
                <w:sz w:val="22"/>
              </w:rPr>
              <w:t> </w:t>
            </w:r>
            <w:r>
              <w:rPr>
                <w:sz w:val="22"/>
              </w:rPr>
              <w:t>instituțiile</w:t>
            </w:r>
            <w:r>
              <w:rPr>
                <w:spacing w:val="-13"/>
                <w:sz w:val="22"/>
              </w:rPr>
              <w:t> </w:t>
            </w:r>
            <w:r>
              <w:rPr>
                <w:sz w:val="22"/>
              </w:rPr>
              <w:t>administrației publice</w:t>
            </w:r>
            <w:r>
              <w:rPr>
                <w:spacing w:val="-9"/>
                <w:sz w:val="22"/>
              </w:rPr>
              <w:t> </w:t>
            </w:r>
            <w:r>
              <w:rPr>
                <w:sz w:val="22"/>
              </w:rPr>
              <w:t>și</w:t>
            </w:r>
            <w:r>
              <w:rPr>
                <w:spacing w:val="-6"/>
                <w:sz w:val="22"/>
              </w:rPr>
              <w:t> </w:t>
            </w:r>
            <w:r>
              <w:rPr>
                <w:sz w:val="22"/>
              </w:rPr>
              <w:t>în</w:t>
            </w:r>
            <w:r>
              <w:rPr>
                <w:spacing w:val="-8"/>
                <w:sz w:val="22"/>
              </w:rPr>
              <w:t> </w:t>
            </w:r>
            <w:r>
              <w:rPr>
                <w:sz w:val="22"/>
              </w:rPr>
              <w:t>serviciile</w:t>
            </w:r>
            <w:r>
              <w:rPr>
                <w:spacing w:val="-9"/>
                <w:sz w:val="22"/>
              </w:rPr>
              <w:t> </w:t>
            </w:r>
            <w:r>
              <w:rPr>
                <w:sz w:val="22"/>
              </w:rPr>
              <w:t>publice, clarificării</w:t>
            </w:r>
            <w:r>
              <w:rPr>
                <w:spacing w:val="-7"/>
                <w:sz w:val="22"/>
              </w:rPr>
              <w:t> </w:t>
            </w:r>
            <w:r>
              <w:rPr>
                <w:sz w:val="22"/>
              </w:rPr>
              <w:t>pluralismului</w:t>
            </w:r>
            <w:r>
              <w:rPr>
                <w:spacing w:val="-2"/>
                <w:sz w:val="22"/>
              </w:rPr>
              <w:t> </w:t>
            </w:r>
            <w:r>
              <w:rPr>
                <w:sz w:val="22"/>
              </w:rPr>
              <w:t>metodologic, selectării</w:t>
            </w:r>
            <w:r>
              <w:rPr>
                <w:spacing w:val="-2"/>
                <w:sz w:val="22"/>
              </w:rPr>
              <w:t> </w:t>
            </w:r>
            <w:r>
              <w:rPr>
                <w:sz w:val="22"/>
              </w:rPr>
              <w:t>metodelor de</w:t>
            </w:r>
            <w:r>
              <w:rPr>
                <w:spacing w:val="-9"/>
                <w:sz w:val="22"/>
              </w:rPr>
              <w:t> </w:t>
            </w:r>
            <w:r>
              <w:rPr>
                <w:sz w:val="22"/>
              </w:rPr>
              <w:t>cercetare relevante propriilor demersuri epistemologice. La fel, în cadrul disciplinii sunt prezentate etapele demersului de cercetare în organizării și dirijării în instituțiile administrației publice și în serviciile publice, sunt analizate rigorile și condițiile definitorii pentru cunoașterea științifică în organizării și dirijării în instituțiile administrației publice și în serviciile publice. La finalul cursului, studenții- doctoranzi vor avea suficiente abilități pentru conceptualizarea și realizarea unui proiect de cercetare în domeniul organizării și dirijării în instituțiile administrației publice și în serviciile publice.</w:t>
            </w:r>
          </w:p>
        </w:tc>
      </w:tr>
      <w:tr>
        <w:trPr>
          <w:trHeight w:val="2040" w:hRule="atLeast"/>
        </w:trPr>
        <w:tc>
          <w:tcPr>
            <w:tcW w:w="1157" w:type="dxa"/>
          </w:tcPr>
          <w:p>
            <w:pPr>
              <w:pStyle w:val="TableParagraph"/>
              <w:spacing w:line="276" w:lineRule="auto" w:before="1"/>
              <w:ind w:right="249"/>
              <w:rPr>
                <w:b/>
                <w:sz w:val="22"/>
              </w:rPr>
            </w:pPr>
            <w:r>
              <w:rPr>
                <w:b/>
                <w:spacing w:val="-2"/>
                <w:sz w:val="22"/>
              </w:rPr>
              <w:t>Compe- tenţele </w:t>
            </w:r>
            <w:r>
              <w:rPr>
                <w:b/>
                <w:spacing w:val="-4"/>
                <w:sz w:val="22"/>
              </w:rPr>
              <w:t>obţinute</w:t>
            </w:r>
          </w:p>
        </w:tc>
        <w:tc>
          <w:tcPr>
            <w:tcW w:w="9446" w:type="dxa"/>
            <w:gridSpan w:val="6"/>
          </w:tcPr>
          <w:p>
            <w:pPr>
              <w:pStyle w:val="TableParagraph"/>
              <w:spacing w:before="36"/>
              <w:ind w:left="0"/>
              <w:rPr>
                <w:b/>
                <w:sz w:val="22"/>
              </w:rPr>
            </w:pPr>
          </w:p>
          <w:p>
            <w:pPr>
              <w:pStyle w:val="TableParagraph"/>
              <w:spacing w:line="273" w:lineRule="auto"/>
              <w:ind w:left="4"/>
              <w:rPr>
                <w:sz w:val="22"/>
              </w:rPr>
            </w:pPr>
            <w:r>
              <w:rPr>
                <w:sz w:val="22"/>
              </w:rPr>
              <w:t>CP</w:t>
            </w:r>
            <w:r>
              <w:rPr>
                <w:spacing w:val="80"/>
                <w:sz w:val="22"/>
              </w:rPr>
              <w:t> </w:t>
            </w:r>
            <w:r>
              <w:rPr>
                <w:sz w:val="22"/>
              </w:rPr>
              <w:t>1.</w:t>
            </w:r>
            <w:r>
              <w:rPr>
                <w:spacing w:val="80"/>
                <w:sz w:val="22"/>
              </w:rPr>
              <w:t> </w:t>
            </w:r>
            <w:r>
              <w:rPr>
                <w:sz w:val="22"/>
              </w:rPr>
              <w:t>Cunoașterea</w:t>
            </w:r>
            <w:r>
              <w:rPr>
                <w:spacing w:val="80"/>
                <w:sz w:val="22"/>
              </w:rPr>
              <w:t> </w:t>
            </w:r>
            <w:r>
              <w:rPr>
                <w:sz w:val="22"/>
              </w:rPr>
              <w:t>metodologiei</w:t>
            </w:r>
            <w:r>
              <w:rPr>
                <w:spacing w:val="80"/>
                <w:sz w:val="22"/>
              </w:rPr>
              <w:t> </w:t>
            </w:r>
            <w:r>
              <w:rPr>
                <w:sz w:val="22"/>
              </w:rPr>
              <w:t>de</w:t>
            </w:r>
            <w:r>
              <w:rPr>
                <w:spacing w:val="77"/>
                <w:sz w:val="22"/>
              </w:rPr>
              <w:t> </w:t>
            </w:r>
            <w:r>
              <w:rPr>
                <w:sz w:val="22"/>
              </w:rPr>
              <w:t>cercetare</w:t>
            </w:r>
            <w:r>
              <w:rPr>
                <w:spacing w:val="77"/>
                <w:sz w:val="22"/>
              </w:rPr>
              <w:t> </w:t>
            </w:r>
            <w:r>
              <w:rPr>
                <w:sz w:val="22"/>
              </w:rPr>
              <w:t>în</w:t>
            </w:r>
            <w:r>
              <w:rPr>
                <w:spacing w:val="80"/>
                <w:sz w:val="22"/>
              </w:rPr>
              <w:t> </w:t>
            </w:r>
            <w:r>
              <w:rPr>
                <w:sz w:val="22"/>
              </w:rPr>
              <w:t>domeniul</w:t>
            </w:r>
            <w:r>
              <w:rPr>
                <w:spacing w:val="80"/>
                <w:sz w:val="22"/>
              </w:rPr>
              <w:t> </w:t>
            </w:r>
            <w:r>
              <w:rPr>
                <w:sz w:val="22"/>
              </w:rPr>
              <w:t>organizării</w:t>
            </w:r>
            <w:r>
              <w:rPr>
                <w:spacing w:val="80"/>
                <w:sz w:val="22"/>
              </w:rPr>
              <w:t> </w:t>
            </w:r>
            <w:r>
              <w:rPr>
                <w:sz w:val="22"/>
              </w:rPr>
              <w:t>și</w:t>
            </w:r>
            <w:r>
              <w:rPr>
                <w:spacing w:val="80"/>
                <w:sz w:val="22"/>
              </w:rPr>
              <w:t> </w:t>
            </w:r>
            <w:r>
              <w:rPr>
                <w:sz w:val="22"/>
              </w:rPr>
              <w:t>dirijării</w:t>
            </w:r>
            <w:r>
              <w:rPr>
                <w:spacing w:val="80"/>
                <w:sz w:val="22"/>
              </w:rPr>
              <w:t> </w:t>
            </w:r>
            <w:r>
              <w:rPr>
                <w:sz w:val="22"/>
              </w:rPr>
              <w:t>în</w:t>
            </w:r>
            <w:r>
              <w:rPr>
                <w:spacing w:val="80"/>
                <w:sz w:val="22"/>
              </w:rPr>
              <w:t> </w:t>
            </w:r>
            <w:r>
              <w:rPr>
                <w:sz w:val="22"/>
              </w:rPr>
              <w:t>instituțiile administrației publice și în serviciile publice.</w:t>
            </w:r>
          </w:p>
          <w:p>
            <w:pPr>
              <w:pStyle w:val="TableParagraph"/>
              <w:spacing w:line="278" w:lineRule="auto" w:before="4"/>
              <w:ind w:left="4" w:firstLine="57"/>
              <w:rPr>
                <w:sz w:val="22"/>
              </w:rPr>
            </w:pPr>
            <w:r>
              <w:rPr>
                <w:sz w:val="22"/>
              </w:rPr>
              <w:t>CP</w:t>
            </w:r>
            <w:r>
              <w:rPr>
                <w:spacing w:val="-14"/>
                <w:sz w:val="22"/>
              </w:rPr>
              <w:t> </w:t>
            </w:r>
            <w:r>
              <w:rPr>
                <w:sz w:val="22"/>
              </w:rPr>
              <w:t>2.</w:t>
            </w:r>
            <w:r>
              <w:rPr>
                <w:spacing w:val="-14"/>
                <w:sz w:val="22"/>
              </w:rPr>
              <w:t> </w:t>
            </w:r>
            <w:r>
              <w:rPr>
                <w:sz w:val="22"/>
              </w:rPr>
              <w:t>Elaborarea</w:t>
            </w:r>
            <w:r>
              <w:rPr>
                <w:spacing w:val="-9"/>
                <w:sz w:val="22"/>
              </w:rPr>
              <w:t> </w:t>
            </w:r>
            <w:r>
              <w:rPr>
                <w:sz w:val="22"/>
              </w:rPr>
              <w:t>demersurilor</w:t>
            </w:r>
            <w:r>
              <w:rPr>
                <w:spacing w:val="-7"/>
                <w:sz w:val="22"/>
              </w:rPr>
              <w:t> </w:t>
            </w:r>
            <w:r>
              <w:rPr>
                <w:sz w:val="22"/>
              </w:rPr>
              <w:t>de</w:t>
            </w:r>
            <w:r>
              <w:rPr>
                <w:spacing w:val="-13"/>
                <w:sz w:val="22"/>
              </w:rPr>
              <w:t> </w:t>
            </w:r>
            <w:r>
              <w:rPr>
                <w:sz w:val="22"/>
              </w:rPr>
              <w:t>cercetare</w:t>
            </w:r>
            <w:r>
              <w:rPr>
                <w:spacing w:val="-14"/>
                <w:sz w:val="22"/>
              </w:rPr>
              <w:t> </w:t>
            </w:r>
            <w:r>
              <w:rPr>
                <w:sz w:val="22"/>
              </w:rPr>
              <w:t>în</w:t>
            </w:r>
            <w:r>
              <w:rPr>
                <w:spacing w:val="-11"/>
                <w:sz w:val="22"/>
              </w:rPr>
              <w:t> </w:t>
            </w:r>
            <w:r>
              <w:rPr>
                <w:sz w:val="22"/>
              </w:rPr>
              <w:t>domeniul</w:t>
            </w:r>
            <w:r>
              <w:rPr>
                <w:spacing w:val="-4"/>
                <w:sz w:val="22"/>
              </w:rPr>
              <w:t> </w:t>
            </w:r>
            <w:r>
              <w:rPr>
                <w:sz w:val="22"/>
              </w:rPr>
              <w:t>organizării</w:t>
            </w:r>
            <w:r>
              <w:rPr>
                <w:spacing w:val="-14"/>
                <w:sz w:val="22"/>
              </w:rPr>
              <w:t> </w:t>
            </w:r>
            <w:r>
              <w:rPr>
                <w:sz w:val="22"/>
              </w:rPr>
              <w:t>și</w:t>
            </w:r>
            <w:r>
              <w:rPr>
                <w:spacing w:val="-13"/>
                <w:sz w:val="22"/>
              </w:rPr>
              <w:t> </w:t>
            </w:r>
            <w:r>
              <w:rPr>
                <w:sz w:val="22"/>
              </w:rPr>
              <w:t>dirijării</w:t>
            </w:r>
            <w:r>
              <w:rPr>
                <w:spacing w:val="-14"/>
                <w:sz w:val="22"/>
              </w:rPr>
              <w:t> </w:t>
            </w:r>
            <w:r>
              <w:rPr>
                <w:sz w:val="22"/>
              </w:rPr>
              <w:t>în</w:t>
            </w:r>
            <w:r>
              <w:rPr>
                <w:spacing w:val="-11"/>
                <w:sz w:val="22"/>
              </w:rPr>
              <w:t> </w:t>
            </w:r>
            <w:r>
              <w:rPr>
                <w:sz w:val="22"/>
              </w:rPr>
              <w:t>instituțiile</w:t>
            </w:r>
            <w:r>
              <w:rPr>
                <w:spacing w:val="-14"/>
                <w:sz w:val="22"/>
              </w:rPr>
              <w:t> </w:t>
            </w:r>
            <w:r>
              <w:rPr>
                <w:sz w:val="22"/>
              </w:rPr>
              <w:t>administrației publice și în serviciile publice.</w:t>
            </w:r>
          </w:p>
          <w:p>
            <w:pPr>
              <w:pStyle w:val="TableParagraph"/>
              <w:spacing w:line="247" w:lineRule="exact"/>
              <w:ind w:left="62"/>
              <w:rPr>
                <w:sz w:val="22"/>
              </w:rPr>
            </w:pPr>
            <w:r>
              <w:rPr>
                <w:sz w:val="22"/>
              </w:rPr>
              <w:t>CP.</w:t>
            </w:r>
            <w:r>
              <w:rPr>
                <w:spacing w:val="-10"/>
                <w:sz w:val="22"/>
              </w:rPr>
              <w:t> </w:t>
            </w:r>
            <w:r>
              <w:rPr>
                <w:sz w:val="22"/>
              </w:rPr>
              <w:t>3.</w:t>
            </w:r>
            <w:r>
              <w:rPr>
                <w:spacing w:val="-7"/>
                <w:sz w:val="22"/>
              </w:rPr>
              <w:t> </w:t>
            </w:r>
            <w:r>
              <w:rPr>
                <w:sz w:val="22"/>
              </w:rPr>
              <w:t>Selectarea</w:t>
            </w:r>
            <w:r>
              <w:rPr>
                <w:spacing w:val="-3"/>
                <w:sz w:val="22"/>
              </w:rPr>
              <w:t> </w:t>
            </w:r>
            <w:r>
              <w:rPr>
                <w:sz w:val="22"/>
              </w:rPr>
              <w:t>și</w:t>
            </w:r>
            <w:r>
              <w:rPr>
                <w:spacing w:val="-8"/>
                <w:sz w:val="22"/>
              </w:rPr>
              <w:t> </w:t>
            </w:r>
            <w:r>
              <w:rPr>
                <w:sz w:val="22"/>
              </w:rPr>
              <w:t>aplicarea</w:t>
            </w:r>
            <w:r>
              <w:rPr>
                <w:spacing w:val="-3"/>
                <w:sz w:val="22"/>
              </w:rPr>
              <w:t> </w:t>
            </w:r>
            <w:r>
              <w:rPr>
                <w:sz w:val="22"/>
              </w:rPr>
              <w:t>metodelor</w:t>
            </w:r>
            <w:r>
              <w:rPr>
                <w:spacing w:val="-2"/>
                <w:sz w:val="22"/>
              </w:rPr>
              <w:t> </w:t>
            </w:r>
            <w:r>
              <w:rPr>
                <w:sz w:val="22"/>
              </w:rPr>
              <w:t>relevante</w:t>
            </w:r>
            <w:r>
              <w:rPr>
                <w:spacing w:val="-12"/>
                <w:sz w:val="22"/>
              </w:rPr>
              <w:t> </w:t>
            </w:r>
            <w:r>
              <w:rPr>
                <w:sz w:val="22"/>
              </w:rPr>
              <w:t>problematicii</w:t>
            </w:r>
            <w:r>
              <w:rPr>
                <w:spacing w:val="-8"/>
                <w:sz w:val="22"/>
              </w:rPr>
              <w:t> </w:t>
            </w:r>
            <w:r>
              <w:rPr>
                <w:spacing w:val="-2"/>
                <w:sz w:val="22"/>
              </w:rPr>
              <w:t>cercetării.</w:t>
            </w:r>
          </w:p>
          <w:p>
            <w:pPr>
              <w:pStyle w:val="TableParagraph"/>
              <w:spacing w:before="40"/>
              <w:ind w:left="62"/>
              <w:rPr>
                <w:sz w:val="22"/>
              </w:rPr>
            </w:pPr>
            <w:r>
              <w:rPr>
                <w:sz w:val="22"/>
              </w:rPr>
              <w:t>CP.</w:t>
            </w:r>
            <w:r>
              <w:rPr>
                <w:spacing w:val="-8"/>
                <w:sz w:val="22"/>
              </w:rPr>
              <w:t> </w:t>
            </w:r>
            <w:r>
              <w:rPr>
                <w:sz w:val="22"/>
              </w:rPr>
              <w:t>4.</w:t>
            </w:r>
            <w:r>
              <w:rPr>
                <w:spacing w:val="-6"/>
                <w:sz w:val="22"/>
              </w:rPr>
              <w:t> </w:t>
            </w:r>
            <w:r>
              <w:rPr>
                <w:sz w:val="22"/>
              </w:rPr>
              <w:t>Analiza</w:t>
            </w:r>
            <w:r>
              <w:rPr>
                <w:spacing w:val="-1"/>
                <w:sz w:val="22"/>
              </w:rPr>
              <w:t> </w:t>
            </w:r>
            <w:r>
              <w:rPr>
                <w:sz w:val="22"/>
              </w:rPr>
              <w:t>și</w:t>
            </w:r>
            <w:r>
              <w:rPr>
                <w:spacing w:val="-8"/>
                <w:sz w:val="22"/>
              </w:rPr>
              <w:t> </w:t>
            </w:r>
            <w:r>
              <w:rPr>
                <w:sz w:val="22"/>
              </w:rPr>
              <w:t>interpretarea</w:t>
            </w:r>
            <w:r>
              <w:rPr>
                <w:spacing w:val="-6"/>
                <w:sz w:val="22"/>
              </w:rPr>
              <w:t> </w:t>
            </w:r>
            <w:r>
              <w:rPr>
                <w:sz w:val="22"/>
              </w:rPr>
              <w:t>rezultatelor</w:t>
            </w:r>
            <w:r>
              <w:rPr>
                <w:spacing w:val="-1"/>
                <w:sz w:val="22"/>
              </w:rPr>
              <w:t> </w:t>
            </w:r>
            <w:r>
              <w:rPr>
                <w:spacing w:val="-2"/>
                <w:sz w:val="22"/>
              </w:rPr>
              <w:t>cercetării.</w:t>
            </w:r>
          </w:p>
        </w:tc>
      </w:tr>
      <w:tr>
        <w:trPr>
          <w:trHeight w:val="2616" w:hRule="atLeast"/>
        </w:trPr>
        <w:tc>
          <w:tcPr>
            <w:tcW w:w="1157" w:type="dxa"/>
          </w:tcPr>
          <w:p>
            <w:pPr>
              <w:pStyle w:val="TableParagraph"/>
              <w:spacing w:line="278" w:lineRule="auto" w:before="1"/>
              <w:ind w:right="85"/>
              <w:rPr>
                <w:b/>
                <w:sz w:val="22"/>
              </w:rPr>
            </w:pPr>
            <w:r>
              <w:rPr>
                <w:b/>
                <w:spacing w:val="-2"/>
                <w:sz w:val="22"/>
              </w:rPr>
              <w:t>Conţi- nutul disciplinei</w:t>
            </w:r>
          </w:p>
        </w:tc>
        <w:tc>
          <w:tcPr>
            <w:tcW w:w="9446" w:type="dxa"/>
            <w:gridSpan w:val="6"/>
          </w:tcPr>
          <w:p>
            <w:pPr>
              <w:pStyle w:val="TableParagraph"/>
              <w:spacing w:before="31"/>
              <w:ind w:left="0"/>
              <w:rPr>
                <w:b/>
                <w:sz w:val="22"/>
              </w:rPr>
            </w:pPr>
          </w:p>
          <w:p>
            <w:pPr>
              <w:pStyle w:val="TableParagraph"/>
              <w:numPr>
                <w:ilvl w:val="0"/>
                <w:numId w:val="1"/>
              </w:numPr>
              <w:tabs>
                <w:tab w:pos="439" w:val="left" w:leader="none"/>
                <w:tab w:pos="441" w:val="left" w:leader="none"/>
              </w:tabs>
              <w:spacing w:line="278" w:lineRule="auto" w:before="0" w:after="0"/>
              <w:ind w:left="441" w:right="95" w:hanging="361"/>
              <w:jc w:val="left"/>
              <w:rPr>
                <w:sz w:val="22"/>
              </w:rPr>
            </w:pPr>
            <w:r>
              <w:rPr>
                <w:sz w:val="22"/>
              </w:rPr>
              <w:t>Paradigme</w:t>
            </w:r>
            <w:r>
              <w:rPr>
                <w:spacing w:val="-3"/>
                <w:sz w:val="22"/>
              </w:rPr>
              <w:t> </w:t>
            </w:r>
            <w:r>
              <w:rPr>
                <w:sz w:val="22"/>
              </w:rPr>
              <w:t>contemporane</w:t>
            </w:r>
            <w:r>
              <w:rPr>
                <w:spacing w:val="-8"/>
                <w:sz w:val="22"/>
              </w:rPr>
              <w:t> </w:t>
            </w:r>
            <w:r>
              <w:rPr>
                <w:sz w:val="22"/>
              </w:rPr>
              <w:t>ale</w:t>
            </w:r>
            <w:r>
              <w:rPr>
                <w:spacing w:val="-8"/>
                <w:sz w:val="22"/>
              </w:rPr>
              <w:t> </w:t>
            </w:r>
            <w:r>
              <w:rPr>
                <w:sz w:val="22"/>
              </w:rPr>
              <w:t>cercetării</w:t>
            </w:r>
            <w:r>
              <w:rPr>
                <w:spacing w:val="-5"/>
                <w:sz w:val="22"/>
              </w:rPr>
              <w:t> </w:t>
            </w:r>
            <w:r>
              <w:rPr>
                <w:sz w:val="22"/>
              </w:rPr>
              <w:t>în</w:t>
            </w:r>
            <w:r>
              <w:rPr>
                <w:spacing w:val="-6"/>
                <w:sz w:val="22"/>
              </w:rPr>
              <w:t> </w:t>
            </w:r>
            <w:r>
              <w:rPr>
                <w:sz w:val="22"/>
              </w:rPr>
              <w:t>domeniul organizării</w:t>
            </w:r>
            <w:r>
              <w:rPr>
                <w:spacing w:val="-5"/>
                <w:sz w:val="22"/>
              </w:rPr>
              <w:t> </w:t>
            </w:r>
            <w:r>
              <w:rPr>
                <w:sz w:val="22"/>
              </w:rPr>
              <w:t>și dirijării</w:t>
            </w:r>
            <w:r>
              <w:rPr>
                <w:spacing w:val="-5"/>
                <w:sz w:val="22"/>
              </w:rPr>
              <w:t> </w:t>
            </w:r>
            <w:r>
              <w:rPr>
                <w:sz w:val="22"/>
              </w:rPr>
              <w:t>în</w:t>
            </w:r>
            <w:r>
              <w:rPr>
                <w:spacing w:val="-1"/>
                <w:sz w:val="22"/>
              </w:rPr>
              <w:t> </w:t>
            </w:r>
            <w:r>
              <w:rPr>
                <w:sz w:val="22"/>
              </w:rPr>
              <w:t>instituțiile</w:t>
            </w:r>
            <w:r>
              <w:rPr>
                <w:spacing w:val="-8"/>
                <w:sz w:val="22"/>
              </w:rPr>
              <w:t> </w:t>
            </w:r>
            <w:r>
              <w:rPr>
                <w:sz w:val="22"/>
              </w:rPr>
              <w:t>administrației publice și în serviciile publice.</w:t>
            </w:r>
          </w:p>
          <w:p>
            <w:pPr>
              <w:pStyle w:val="TableParagraph"/>
              <w:numPr>
                <w:ilvl w:val="0"/>
                <w:numId w:val="1"/>
              </w:numPr>
              <w:tabs>
                <w:tab w:pos="439" w:val="left" w:leader="none"/>
                <w:tab w:pos="441" w:val="left" w:leader="none"/>
              </w:tabs>
              <w:spacing w:line="278" w:lineRule="auto" w:before="0" w:after="0"/>
              <w:ind w:left="441" w:right="778" w:hanging="361"/>
              <w:jc w:val="left"/>
              <w:rPr>
                <w:sz w:val="22"/>
              </w:rPr>
            </w:pPr>
            <w:r>
              <w:rPr>
                <w:sz w:val="22"/>
              </w:rPr>
              <w:t>Etapele</w:t>
            </w:r>
            <w:r>
              <w:rPr>
                <w:spacing w:val="-7"/>
                <w:sz w:val="22"/>
              </w:rPr>
              <w:t> </w:t>
            </w:r>
            <w:r>
              <w:rPr>
                <w:sz w:val="22"/>
              </w:rPr>
              <w:t>procesului</w:t>
            </w:r>
            <w:r>
              <w:rPr>
                <w:spacing w:val="-4"/>
                <w:sz w:val="22"/>
              </w:rPr>
              <w:t> </w:t>
            </w:r>
            <w:r>
              <w:rPr>
                <w:sz w:val="22"/>
              </w:rPr>
              <w:t>de</w:t>
            </w:r>
            <w:r>
              <w:rPr>
                <w:spacing w:val="-7"/>
                <w:sz w:val="22"/>
              </w:rPr>
              <w:t> </w:t>
            </w:r>
            <w:r>
              <w:rPr>
                <w:sz w:val="22"/>
              </w:rPr>
              <w:t>cercetare</w:t>
            </w:r>
            <w:r>
              <w:rPr>
                <w:spacing w:val="-7"/>
                <w:sz w:val="22"/>
              </w:rPr>
              <w:t> </w:t>
            </w:r>
            <w:r>
              <w:rPr>
                <w:sz w:val="22"/>
              </w:rPr>
              <w:t>în domeniul organizării și</w:t>
            </w:r>
            <w:r>
              <w:rPr>
                <w:spacing w:val="-3"/>
                <w:sz w:val="22"/>
              </w:rPr>
              <w:t> </w:t>
            </w:r>
            <w:r>
              <w:rPr>
                <w:sz w:val="22"/>
              </w:rPr>
              <w:t>dirijării</w:t>
            </w:r>
            <w:r>
              <w:rPr>
                <w:spacing w:val="-4"/>
                <w:sz w:val="22"/>
              </w:rPr>
              <w:t> </w:t>
            </w:r>
            <w:r>
              <w:rPr>
                <w:sz w:val="22"/>
              </w:rPr>
              <w:t>în</w:t>
            </w:r>
            <w:r>
              <w:rPr>
                <w:spacing w:val="-5"/>
                <w:sz w:val="22"/>
              </w:rPr>
              <w:t> </w:t>
            </w:r>
            <w:r>
              <w:rPr>
                <w:sz w:val="22"/>
              </w:rPr>
              <w:t>instituțiile</w:t>
            </w:r>
            <w:r>
              <w:rPr>
                <w:spacing w:val="-7"/>
                <w:sz w:val="22"/>
              </w:rPr>
              <w:t> </w:t>
            </w:r>
            <w:r>
              <w:rPr>
                <w:sz w:val="22"/>
              </w:rPr>
              <w:t>administrației publice și în serviciile publice.</w:t>
            </w:r>
          </w:p>
          <w:p>
            <w:pPr>
              <w:pStyle w:val="TableParagraph"/>
              <w:numPr>
                <w:ilvl w:val="0"/>
                <w:numId w:val="1"/>
              </w:numPr>
              <w:tabs>
                <w:tab w:pos="439" w:val="left" w:leader="none"/>
                <w:tab w:pos="441" w:val="left" w:leader="none"/>
              </w:tabs>
              <w:spacing w:line="273" w:lineRule="auto" w:before="0" w:after="0"/>
              <w:ind w:left="441" w:right="542" w:hanging="361"/>
              <w:jc w:val="left"/>
              <w:rPr>
                <w:sz w:val="22"/>
              </w:rPr>
            </w:pPr>
            <w:r>
              <w:rPr>
                <w:sz w:val="22"/>
              </w:rPr>
              <w:t>Specificul</w:t>
            </w:r>
            <w:r>
              <w:rPr>
                <w:spacing w:val="-4"/>
                <w:sz w:val="22"/>
              </w:rPr>
              <w:t> </w:t>
            </w:r>
            <w:r>
              <w:rPr>
                <w:sz w:val="22"/>
              </w:rPr>
              <w:t>cercetării</w:t>
            </w:r>
            <w:r>
              <w:rPr>
                <w:spacing w:val="-4"/>
                <w:sz w:val="22"/>
              </w:rPr>
              <w:t> </w:t>
            </w:r>
            <w:r>
              <w:rPr>
                <w:sz w:val="22"/>
              </w:rPr>
              <w:t>cantitative</w:t>
            </w:r>
            <w:r>
              <w:rPr>
                <w:spacing w:val="-3"/>
                <w:sz w:val="22"/>
              </w:rPr>
              <w:t> </w:t>
            </w:r>
            <w:r>
              <w:rPr>
                <w:sz w:val="22"/>
              </w:rPr>
              <w:t>în</w:t>
            </w:r>
            <w:r>
              <w:rPr>
                <w:spacing w:val="-5"/>
                <w:sz w:val="22"/>
              </w:rPr>
              <w:t> </w:t>
            </w:r>
            <w:r>
              <w:rPr>
                <w:sz w:val="22"/>
              </w:rPr>
              <w:t>organizării</w:t>
            </w:r>
            <w:r>
              <w:rPr>
                <w:spacing w:val="-4"/>
                <w:sz w:val="22"/>
              </w:rPr>
              <w:t> </w:t>
            </w:r>
            <w:r>
              <w:rPr>
                <w:sz w:val="22"/>
              </w:rPr>
              <w:t>și</w:t>
            </w:r>
            <w:r>
              <w:rPr>
                <w:spacing w:val="-3"/>
                <w:sz w:val="22"/>
              </w:rPr>
              <w:t> </w:t>
            </w:r>
            <w:r>
              <w:rPr>
                <w:sz w:val="22"/>
              </w:rPr>
              <w:t>dirijării în</w:t>
            </w:r>
            <w:r>
              <w:rPr>
                <w:spacing w:val="-5"/>
                <w:sz w:val="22"/>
              </w:rPr>
              <w:t> </w:t>
            </w:r>
            <w:r>
              <w:rPr>
                <w:sz w:val="22"/>
              </w:rPr>
              <w:t>instituțiile</w:t>
            </w:r>
            <w:r>
              <w:rPr>
                <w:spacing w:val="-7"/>
                <w:sz w:val="22"/>
              </w:rPr>
              <w:t> </w:t>
            </w:r>
            <w:r>
              <w:rPr>
                <w:sz w:val="22"/>
              </w:rPr>
              <w:t>administrației</w:t>
            </w:r>
            <w:r>
              <w:rPr>
                <w:spacing w:val="-4"/>
                <w:sz w:val="22"/>
              </w:rPr>
              <w:t> </w:t>
            </w:r>
            <w:r>
              <w:rPr>
                <w:sz w:val="22"/>
              </w:rPr>
              <w:t>publice</w:t>
            </w:r>
            <w:r>
              <w:rPr>
                <w:spacing w:val="-7"/>
                <w:sz w:val="22"/>
              </w:rPr>
              <w:t> </w:t>
            </w:r>
            <w:r>
              <w:rPr>
                <w:sz w:val="22"/>
              </w:rPr>
              <w:t>și</w:t>
            </w:r>
            <w:r>
              <w:rPr>
                <w:spacing w:val="-3"/>
                <w:sz w:val="22"/>
              </w:rPr>
              <w:t> </w:t>
            </w:r>
            <w:r>
              <w:rPr>
                <w:sz w:val="22"/>
              </w:rPr>
              <w:t>în serviciile publice. Valențe și limite.</w:t>
            </w:r>
          </w:p>
          <w:p>
            <w:pPr>
              <w:pStyle w:val="TableParagraph"/>
              <w:numPr>
                <w:ilvl w:val="0"/>
                <w:numId w:val="1"/>
              </w:numPr>
              <w:tabs>
                <w:tab w:pos="440" w:val="left" w:leader="none"/>
              </w:tabs>
              <w:spacing w:line="240" w:lineRule="auto" w:before="0" w:after="0"/>
              <w:ind w:left="440" w:right="0" w:hanging="359"/>
              <w:jc w:val="left"/>
              <w:rPr>
                <w:sz w:val="22"/>
              </w:rPr>
            </w:pPr>
            <w:r>
              <w:rPr>
                <w:sz w:val="22"/>
              </w:rPr>
              <w:t>Cercetarea</w:t>
            </w:r>
            <w:r>
              <w:rPr>
                <w:spacing w:val="-1"/>
                <w:sz w:val="22"/>
              </w:rPr>
              <w:t> </w:t>
            </w:r>
            <w:r>
              <w:rPr>
                <w:sz w:val="22"/>
              </w:rPr>
              <w:t>calitativă în organizării</w:t>
            </w:r>
            <w:r>
              <w:rPr>
                <w:spacing w:val="-7"/>
                <w:sz w:val="22"/>
              </w:rPr>
              <w:t> </w:t>
            </w:r>
            <w:r>
              <w:rPr>
                <w:sz w:val="22"/>
              </w:rPr>
              <w:t>și</w:t>
            </w:r>
            <w:r>
              <w:rPr>
                <w:spacing w:val="-1"/>
                <w:sz w:val="22"/>
              </w:rPr>
              <w:t> </w:t>
            </w:r>
            <w:r>
              <w:rPr>
                <w:sz w:val="22"/>
              </w:rPr>
              <w:t>dirijării</w:t>
            </w:r>
            <w:r>
              <w:rPr>
                <w:spacing w:val="-7"/>
                <w:sz w:val="22"/>
              </w:rPr>
              <w:t> </w:t>
            </w:r>
            <w:r>
              <w:rPr>
                <w:sz w:val="22"/>
              </w:rPr>
              <w:t>în</w:t>
            </w:r>
            <w:r>
              <w:rPr>
                <w:spacing w:val="-7"/>
                <w:sz w:val="22"/>
              </w:rPr>
              <w:t> </w:t>
            </w:r>
            <w:r>
              <w:rPr>
                <w:sz w:val="22"/>
              </w:rPr>
              <w:t>instituțiile</w:t>
            </w:r>
            <w:r>
              <w:rPr>
                <w:spacing w:val="-10"/>
                <w:sz w:val="22"/>
              </w:rPr>
              <w:t> </w:t>
            </w:r>
            <w:r>
              <w:rPr>
                <w:sz w:val="22"/>
              </w:rPr>
              <w:t>administrației</w:t>
            </w:r>
            <w:r>
              <w:rPr>
                <w:spacing w:val="-6"/>
                <w:sz w:val="22"/>
              </w:rPr>
              <w:t> </w:t>
            </w:r>
            <w:r>
              <w:rPr>
                <w:sz w:val="22"/>
              </w:rPr>
              <w:t>publice</w:t>
            </w:r>
            <w:r>
              <w:rPr>
                <w:spacing w:val="-4"/>
                <w:sz w:val="22"/>
              </w:rPr>
              <w:t> </w:t>
            </w:r>
            <w:r>
              <w:rPr>
                <w:sz w:val="22"/>
              </w:rPr>
              <w:t>și</w:t>
            </w:r>
            <w:r>
              <w:rPr>
                <w:spacing w:val="-7"/>
                <w:sz w:val="22"/>
              </w:rPr>
              <w:t> </w:t>
            </w:r>
            <w:r>
              <w:rPr>
                <w:sz w:val="22"/>
              </w:rPr>
              <w:t>în</w:t>
            </w:r>
            <w:r>
              <w:rPr>
                <w:spacing w:val="-7"/>
                <w:sz w:val="22"/>
              </w:rPr>
              <w:t> </w:t>
            </w:r>
            <w:r>
              <w:rPr>
                <w:spacing w:val="-2"/>
                <w:sz w:val="22"/>
              </w:rPr>
              <w:t>serviciile</w:t>
            </w:r>
          </w:p>
          <w:p>
            <w:pPr>
              <w:pStyle w:val="TableParagraph"/>
              <w:spacing w:before="37"/>
              <w:ind w:left="441"/>
              <w:rPr>
                <w:sz w:val="22"/>
              </w:rPr>
            </w:pPr>
            <w:r>
              <w:rPr>
                <w:spacing w:val="-2"/>
                <w:sz w:val="22"/>
              </w:rPr>
              <w:t>publice.</w:t>
            </w:r>
          </w:p>
        </w:tc>
      </w:tr>
      <w:tr>
        <w:trPr>
          <w:trHeight w:val="4085" w:hRule="atLeast"/>
        </w:trPr>
        <w:tc>
          <w:tcPr>
            <w:tcW w:w="1157" w:type="dxa"/>
          </w:tcPr>
          <w:p>
            <w:pPr>
              <w:pStyle w:val="TableParagraph"/>
              <w:spacing w:line="278" w:lineRule="auto" w:before="1"/>
              <w:ind w:right="85"/>
              <w:rPr>
                <w:b/>
                <w:sz w:val="22"/>
              </w:rPr>
            </w:pPr>
            <w:r>
              <w:rPr>
                <w:b/>
                <w:spacing w:val="-2"/>
                <w:sz w:val="22"/>
              </w:rPr>
              <w:t>Biblio- grafia </w:t>
            </w:r>
            <w:r>
              <w:rPr>
                <w:b/>
                <w:spacing w:val="-4"/>
                <w:sz w:val="22"/>
              </w:rPr>
              <w:t>minimală</w:t>
            </w:r>
          </w:p>
        </w:tc>
        <w:tc>
          <w:tcPr>
            <w:tcW w:w="9446" w:type="dxa"/>
            <w:gridSpan w:val="6"/>
          </w:tcPr>
          <w:p>
            <w:pPr>
              <w:pStyle w:val="TableParagraph"/>
              <w:spacing w:before="36"/>
              <w:ind w:left="0"/>
              <w:rPr>
                <w:b/>
                <w:sz w:val="22"/>
              </w:rPr>
            </w:pPr>
          </w:p>
          <w:p>
            <w:pPr>
              <w:pStyle w:val="TableParagraph"/>
              <w:ind w:left="4"/>
              <w:jc w:val="both"/>
              <w:rPr>
                <w:sz w:val="22"/>
              </w:rPr>
            </w:pPr>
            <w:r>
              <w:rPr>
                <w:b/>
                <w:sz w:val="22"/>
              </w:rPr>
              <w:t>Surse</w:t>
            </w:r>
            <w:r>
              <w:rPr>
                <w:b/>
                <w:spacing w:val="-9"/>
                <w:sz w:val="22"/>
              </w:rPr>
              <w:t> </w:t>
            </w:r>
            <w:r>
              <w:rPr>
                <w:b/>
                <w:spacing w:val="-2"/>
                <w:sz w:val="22"/>
              </w:rPr>
              <w:t>bibliografice</w:t>
            </w:r>
            <w:r>
              <w:rPr>
                <w:spacing w:val="-2"/>
                <w:sz w:val="22"/>
              </w:rPr>
              <w:t>:</w:t>
            </w:r>
          </w:p>
          <w:p>
            <w:pPr>
              <w:pStyle w:val="TableParagraph"/>
              <w:numPr>
                <w:ilvl w:val="0"/>
                <w:numId w:val="2"/>
              </w:numPr>
              <w:tabs>
                <w:tab w:pos="724" w:val="left" w:leader="none"/>
              </w:tabs>
              <w:spacing w:line="276" w:lineRule="auto" w:before="49" w:after="0"/>
              <w:ind w:left="724" w:right="-15" w:hanging="360"/>
              <w:jc w:val="both"/>
              <w:rPr>
                <w:sz w:val="22"/>
              </w:rPr>
            </w:pPr>
            <w:r>
              <w:rPr>
                <w:sz w:val="22"/>
              </w:rPr>
              <w:t>Dulschi I. Unele aspecte metodologice privind cercetarea în administrarea publică. In: Teoria şi Practica Administrării Publice, materiale ale conferinţei ştiinţifico-practice cu participare internaţională 20 mai 2013. Chişinău: AAP, 2013. p.14-16. ISBN 978-9975-4241-5-8.</w:t>
            </w:r>
          </w:p>
          <w:p>
            <w:pPr>
              <w:pStyle w:val="TableParagraph"/>
              <w:numPr>
                <w:ilvl w:val="0"/>
                <w:numId w:val="2"/>
              </w:numPr>
              <w:tabs>
                <w:tab w:pos="723" w:val="left" w:leader="none"/>
              </w:tabs>
              <w:spacing w:line="240" w:lineRule="auto" w:before="1" w:after="0"/>
              <w:ind w:left="723" w:right="0" w:hanging="359"/>
              <w:jc w:val="both"/>
              <w:rPr>
                <w:sz w:val="22"/>
              </w:rPr>
            </w:pPr>
            <w:r>
              <w:rPr>
                <w:sz w:val="22"/>
              </w:rPr>
              <w:t>Georgescu</w:t>
            </w:r>
            <w:r>
              <w:rPr>
                <w:spacing w:val="-7"/>
                <w:sz w:val="22"/>
              </w:rPr>
              <w:t> </w:t>
            </w:r>
            <w:r>
              <w:rPr>
                <w:sz w:val="22"/>
              </w:rPr>
              <w:t>Șt.</w:t>
            </w:r>
            <w:r>
              <w:rPr>
                <w:spacing w:val="-7"/>
                <w:sz w:val="22"/>
              </w:rPr>
              <w:t> </w:t>
            </w:r>
            <w:r>
              <w:rPr>
                <w:sz w:val="22"/>
              </w:rPr>
              <w:t>Teoria</w:t>
            </w:r>
            <w:r>
              <w:rPr>
                <w:spacing w:val="-2"/>
                <w:sz w:val="22"/>
              </w:rPr>
              <w:t> </w:t>
            </w:r>
            <w:r>
              <w:rPr>
                <w:sz w:val="22"/>
              </w:rPr>
              <w:t>cunoaşterii</w:t>
            </w:r>
            <w:r>
              <w:rPr>
                <w:spacing w:val="-8"/>
                <w:sz w:val="22"/>
              </w:rPr>
              <w:t> </w:t>
            </w:r>
            <w:r>
              <w:rPr>
                <w:sz w:val="22"/>
              </w:rPr>
              <w:t>ştiinţifice.</w:t>
            </w:r>
            <w:r>
              <w:rPr>
                <w:spacing w:val="-3"/>
                <w:sz w:val="22"/>
              </w:rPr>
              <w:t> </w:t>
            </w:r>
            <w:r>
              <w:rPr>
                <w:sz w:val="22"/>
              </w:rPr>
              <w:t>București:</w:t>
            </w:r>
            <w:r>
              <w:rPr>
                <w:spacing w:val="-4"/>
                <w:sz w:val="22"/>
              </w:rPr>
              <w:t> </w:t>
            </w:r>
            <w:r>
              <w:rPr>
                <w:sz w:val="22"/>
              </w:rPr>
              <w:t>Ed.</w:t>
            </w:r>
            <w:r>
              <w:rPr>
                <w:spacing w:val="-3"/>
                <w:sz w:val="22"/>
              </w:rPr>
              <w:t> </w:t>
            </w:r>
            <w:r>
              <w:rPr>
                <w:sz w:val="22"/>
              </w:rPr>
              <w:t>Academiei</w:t>
            </w:r>
            <w:r>
              <w:rPr>
                <w:spacing w:val="-8"/>
                <w:sz w:val="22"/>
              </w:rPr>
              <w:t> </w:t>
            </w:r>
            <w:r>
              <w:rPr>
                <w:sz w:val="22"/>
              </w:rPr>
              <w:t>Române,</w:t>
            </w:r>
            <w:r>
              <w:rPr>
                <w:spacing w:val="-3"/>
                <w:sz w:val="22"/>
              </w:rPr>
              <w:t> </w:t>
            </w:r>
            <w:r>
              <w:rPr>
                <w:sz w:val="22"/>
              </w:rPr>
              <w:t>1982.</w:t>
            </w:r>
            <w:r>
              <w:rPr>
                <w:spacing w:val="7"/>
                <w:sz w:val="22"/>
              </w:rPr>
              <w:t> </w:t>
            </w:r>
            <w:r>
              <w:rPr>
                <w:sz w:val="22"/>
              </w:rPr>
              <w:t>476</w:t>
            </w:r>
            <w:r>
              <w:rPr>
                <w:spacing w:val="-9"/>
                <w:sz w:val="22"/>
              </w:rPr>
              <w:t> </w:t>
            </w:r>
            <w:r>
              <w:rPr>
                <w:spacing w:val="-5"/>
                <w:sz w:val="22"/>
              </w:rPr>
              <w:t>p.</w:t>
            </w:r>
          </w:p>
          <w:p>
            <w:pPr>
              <w:pStyle w:val="TableParagraph"/>
              <w:numPr>
                <w:ilvl w:val="0"/>
                <w:numId w:val="2"/>
              </w:numPr>
              <w:tabs>
                <w:tab w:pos="724" w:val="left" w:leader="none"/>
              </w:tabs>
              <w:spacing w:line="278" w:lineRule="auto" w:before="35" w:after="0"/>
              <w:ind w:left="724" w:right="-15" w:hanging="360"/>
              <w:jc w:val="left"/>
              <w:rPr>
                <w:sz w:val="22"/>
              </w:rPr>
            </w:pPr>
            <w:r>
              <w:rPr>
                <w:sz w:val="22"/>
              </w:rPr>
              <w:t>Miroiu</w:t>
            </w:r>
            <w:r>
              <w:rPr>
                <w:spacing w:val="-4"/>
                <w:sz w:val="22"/>
              </w:rPr>
              <w:t> </w:t>
            </w:r>
            <w:r>
              <w:rPr>
                <w:sz w:val="22"/>
              </w:rPr>
              <w:t>A.</w:t>
            </w:r>
            <w:r>
              <w:rPr>
                <w:spacing w:val="-2"/>
                <w:sz w:val="22"/>
              </w:rPr>
              <w:t> </w:t>
            </w:r>
            <w:r>
              <w:rPr>
                <w:sz w:val="22"/>
              </w:rPr>
              <w:t>Introducere</w:t>
            </w:r>
            <w:r>
              <w:rPr>
                <w:spacing w:val="-10"/>
                <w:sz w:val="22"/>
              </w:rPr>
              <w:t> </w:t>
            </w:r>
            <w:r>
              <w:rPr>
                <w:sz w:val="22"/>
              </w:rPr>
              <w:t>în</w:t>
            </w:r>
            <w:r>
              <w:rPr>
                <w:spacing w:val="-8"/>
                <w:sz w:val="22"/>
              </w:rPr>
              <w:t> </w:t>
            </w:r>
            <w:r>
              <w:rPr>
                <w:sz w:val="22"/>
              </w:rPr>
              <w:t>analiza</w:t>
            </w:r>
            <w:r>
              <w:rPr>
                <w:spacing w:val="-1"/>
                <w:sz w:val="22"/>
              </w:rPr>
              <w:t> </w:t>
            </w:r>
            <w:r>
              <w:rPr>
                <w:sz w:val="22"/>
              </w:rPr>
              <w:t>politicilor</w:t>
            </w:r>
            <w:r>
              <w:rPr>
                <w:spacing w:val="-1"/>
                <w:sz w:val="22"/>
              </w:rPr>
              <w:t> </w:t>
            </w:r>
            <w:r>
              <w:rPr>
                <w:sz w:val="22"/>
              </w:rPr>
              <w:t>publice.</w:t>
            </w:r>
            <w:r>
              <w:rPr>
                <w:spacing w:val="-2"/>
                <w:sz w:val="22"/>
              </w:rPr>
              <w:t> </w:t>
            </w:r>
            <w:r>
              <w:rPr>
                <w:sz w:val="22"/>
              </w:rPr>
              <w:t>Bucureşti:</w:t>
            </w:r>
            <w:r>
              <w:rPr>
                <w:spacing w:val="-7"/>
                <w:sz w:val="22"/>
              </w:rPr>
              <w:t> </w:t>
            </w:r>
            <w:r>
              <w:rPr>
                <w:sz w:val="22"/>
              </w:rPr>
              <w:t>Punct,</w:t>
            </w:r>
            <w:r>
              <w:rPr>
                <w:spacing w:val="-2"/>
                <w:sz w:val="22"/>
              </w:rPr>
              <w:t> </w:t>
            </w:r>
            <w:r>
              <w:rPr>
                <w:sz w:val="22"/>
              </w:rPr>
              <w:t>2001.</w:t>
            </w:r>
            <w:r>
              <w:rPr>
                <w:spacing w:val="-6"/>
                <w:sz w:val="22"/>
              </w:rPr>
              <w:t> </w:t>
            </w:r>
            <w:r>
              <w:rPr>
                <w:sz w:val="22"/>
              </w:rPr>
              <w:t>p.200.</w:t>
            </w:r>
            <w:r>
              <w:rPr>
                <w:spacing w:val="-6"/>
                <w:sz w:val="22"/>
              </w:rPr>
              <w:t> </w:t>
            </w:r>
            <w:r>
              <w:rPr>
                <w:sz w:val="22"/>
              </w:rPr>
              <w:t>ISBN973-8323- </w:t>
            </w:r>
            <w:r>
              <w:rPr>
                <w:spacing w:val="-2"/>
                <w:sz w:val="22"/>
              </w:rPr>
              <w:t>00-2.</w:t>
            </w:r>
          </w:p>
          <w:p>
            <w:pPr>
              <w:pStyle w:val="TableParagraph"/>
              <w:numPr>
                <w:ilvl w:val="0"/>
                <w:numId w:val="2"/>
              </w:numPr>
              <w:tabs>
                <w:tab w:pos="724" w:val="left" w:leader="none"/>
              </w:tabs>
              <w:spacing w:line="273" w:lineRule="auto" w:before="0" w:after="0"/>
              <w:ind w:left="724" w:right="6" w:hanging="360"/>
              <w:jc w:val="left"/>
              <w:rPr>
                <w:sz w:val="22"/>
              </w:rPr>
            </w:pPr>
            <w:r>
              <w:rPr>
                <w:sz w:val="22"/>
              </w:rPr>
              <w:t>Oroveanu</w:t>
            </w:r>
            <w:r>
              <w:rPr>
                <w:spacing w:val="-3"/>
                <w:sz w:val="22"/>
              </w:rPr>
              <w:t> </w:t>
            </w:r>
            <w:r>
              <w:rPr>
                <w:sz w:val="22"/>
              </w:rPr>
              <w:t>M. Introducere</w:t>
            </w:r>
            <w:r>
              <w:rPr>
                <w:spacing w:val="-5"/>
                <w:sz w:val="22"/>
              </w:rPr>
              <w:t> </w:t>
            </w:r>
            <w:r>
              <w:rPr>
                <w:sz w:val="22"/>
              </w:rPr>
              <w:t>în</w:t>
            </w:r>
            <w:r>
              <w:rPr>
                <w:spacing w:val="-7"/>
                <w:sz w:val="22"/>
              </w:rPr>
              <w:t> </w:t>
            </w:r>
            <w:r>
              <w:rPr>
                <w:sz w:val="22"/>
              </w:rPr>
              <w:t>ştiinţa administraţiei</w:t>
            </w:r>
            <w:r>
              <w:rPr>
                <w:spacing w:val="-2"/>
                <w:sz w:val="22"/>
              </w:rPr>
              <w:t> </w:t>
            </w:r>
            <w:r>
              <w:rPr>
                <w:sz w:val="22"/>
              </w:rPr>
              <w:t>de</w:t>
            </w:r>
            <w:r>
              <w:rPr>
                <w:spacing w:val="-9"/>
                <w:sz w:val="22"/>
              </w:rPr>
              <w:t> </w:t>
            </w:r>
            <w:r>
              <w:rPr>
                <w:sz w:val="22"/>
              </w:rPr>
              <w:t>stat.</w:t>
            </w:r>
            <w:r>
              <w:rPr>
                <w:spacing w:val="-1"/>
                <w:sz w:val="22"/>
              </w:rPr>
              <w:t> </w:t>
            </w:r>
            <w:r>
              <w:rPr>
                <w:sz w:val="22"/>
              </w:rPr>
              <w:t>Bucureşti:</w:t>
            </w:r>
            <w:r>
              <w:rPr>
                <w:spacing w:val="-7"/>
                <w:sz w:val="22"/>
              </w:rPr>
              <w:t> </w:t>
            </w:r>
            <w:r>
              <w:rPr>
                <w:sz w:val="22"/>
              </w:rPr>
              <w:t>Editura</w:t>
            </w:r>
            <w:r>
              <w:rPr>
                <w:spacing w:val="-5"/>
                <w:sz w:val="22"/>
              </w:rPr>
              <w:t> </w:t>
            </w:r>
            <w:r>
              <w:rPr>
                <w:sz w:val="22"/>
              </w:rPr>
              <w:t>enciclopedică română, 1975. 240 p</w:t>
            </w:r>
          </w:p>
          <w:p>
            <w:pPr>
              <w:pStyle w:val="TableParagraph"/>
              <w:numPr>
                <w:ilvl w:val="0"/>
                <w:numId w:val="2"/>
              </w:numPr>
              <w:tabs>
                <w:tab w:pos="723" w:val="left" w:leader="none"/>
              </w:tabs>
              <w:spacing w:line="240" w:lineRule="auto" w:before="3" w:after="0"/>
              <w:ind w:left="723" w:right="-15" w:hanging="359"/>
              <w:jc w:val="left"/>
              <w:rPr>
                <w:sz w:val="22"/>
              </w:rPr>
            </w:pPr>
            <w:r>
              <w:rPr>
                <w:sz w:val="22"/>
              </w:rPr>
              <w:t>Profiroiu</w:t>
            </w:r>
            <w:r>
              <w:rPr>
                <w:spacing w:val="-8"/>
                <w:sz w:val="22"/>
              </w:rPr>
              <w:t> </w:t>
            </w:r>
            <w:r>
              <w:rPr>
                <w:sz w:val="22"/>
              </w:rPr>
              <w:t>M.</w:t>
            </w:r>
            <w:r>
              <w:rPr>
                <w:spacing w:val="-4"/>
                <w:sz w:val="22"/>
              </w:rPr>
              <w:t> </w:t>
            </w:r>
            <w:r>
              <w:rPr>
                <w:sz w:val="22"/>
              </w:rPr>
              <w:t>Politici</w:t>
            </w:r>
            <w:r>
              <w:rPr>
                <w:spacing w:val="-10"/>
                <w:sz w:val="22"/>
              </w:rPr>
              <w:t> </w:t>
            </w:r>
            <w:r>
              <w:rPr>
                <w:sz w:val="22"/>
              </w:rPr>
              <w:t>publice.</w:t>
            </w:r>
            <w:r>
              <w:rPr>
                <w:spacing w:val="-1"/>
                <w:sz w:val="22"/>
              </w:rPr>
              <w:t> </w:t>
            </w:r>
            <w:r>
              <w:rPr>
                <w:sz w:val="22"/>
              </w:rPr>
              <w:t>Bucureşti:</w:t>
            </w:r>
            <w:r>
              <w:rPr>
                <w:spacing w:val="-9"/>
                <w:sz w:val="22"/>
              </w:rPr>
              <w:t> </w:t>
            </w:r>
            <w:r>
              <w:rPr>
                <w:sz w:val="22"/>
              </w:rPr>
              <w:t>Editura</w:t>
            </w:r>
            <w:r>
              <w:rPr>
                <w:spacing w:val="-5"/>
                <w:sz w:val="22"/>
              </w:rPr>
              <w:t> </w:t>
            </w:r>
            <w:r>
              <w:rPr>
                <w:sz w:val="22"/>
              </w:rPr>
              <w:t>Economică,</w:t>
            </w:r>
            <w:r>
              <w:rPr>
                <w:spacing w:val="-5"/>
                <w:sz w:val="22"/>
              </w:rPr>
              <w:t> </w:t>
            </w:r>
            <w:r>
              <w:rPr>
                <w:sz w:val="22"/>
              </w:rPr>
              <w:t>2006.</w:t>
            </w:r>
            <w:r>
              <w:rPr>
                <w:spacing w:val="-9"/>
                <w:sz w:val="22"/>
              </w:rPr>
              <w:t> </w:t>
            </w:r>
            <w:r>
              <w:rPr>
                <w:sz w:val="22"/>
              </w:rPr>
              <w:t>318</w:t>
            </w:r>
            <w:r>
              <w:rPr>
                <w:spacing w:val="-7"/>
                <w:sz w:val="22"/>
              </w:rPr>
              <w:t> </w:t>
            </w:r>
            <w:r>
              <w:rPr>
                <w:sz w:val="22"/>
              </w:rPr>
              <w:t>p.</w:t>
            </w:r>
            <w:r>
              <w:rPr>
                <w:spacing w:val="-5"/>
                <w:sz w:val="22"/>
              </w:rPr>
              <w:t> </w:t>
            </w:r>
            <w:r>
              <w:rPr>
                <w:sz w:val="22"/>
              </w:rPr>
              <w:t>ISBN</w:t>
            </w:r>
            <w:r>
              <w:rPr>
                <w:spacing w:val="-8"/>
                <w:sz w:val="22"/>
              </w:rPr>
              <w:t> </w:t>
            </w:r>
            <w:r>
              <w:rPr>
                <w:sz w:val="22"/>
              </w:rPr>
              <w:t>978-</w:t>
            </w:r>
            <w:r>
              <w:rPr>
                <w:spacing w:val="-8"/>
                <w:sz w:val="22"/>
              </w:rPr>
              <w:t> </w:t>
            </w:r>
            <w:r>
              <w:rPr>
                <w:sz w:val="22"/>
              </w:rPr>
              <w:t>973-709-</w:t>
            </w:r>
            <w:r>
              <w:rPr>
                <w:spacing w:val="-4"/>
                <w:sz w:val="22"/>
              </w:rPr>
              <w:t>219-</w:t>
            </w:r>
          </w:p>
          <w:p>
            <w:pPr>
              <w:pStyle w:val="TableParagraph"/>
              <w:spacing w:before="35"/>
              <w:ind w:left="724"/>
              <w:rPr>
                <w:sz w:val="22"/>
              </w:rPr>
            </w:pPr>
            <w:r>
              <w:rPr>
                <w:spacing w:val="-5"/>
                <w:sz w:val="22"/>
              </w:rPr>
              <w:t>8.</w:t>
            </w:r>
          </w:p>
          <w:p>
            <w:pPr>
              <w:pStyle w:val="TableParagraph"/>
              <w:numPr>
                <w:ilvl w:val="0"/>
                <w:numId w:val="2"/>
              </w:numPr>
              <w:tabs>
                <w:tab w:pos="724" w:val="left" w:leader="none"/>
              </w:tabs>
              <w:spacing w:line="294" w:lineRule="exact" w:before="10" w:after="0"/>
              <w:ind w:left="724" w:right="1" w:hanging="360"/>
              <w:jc w:val="left"/>
              <w:rPr>
                <w:sz w:val="22"/>
              </w:rPr>
            </w:pPr>
            <w:r>
              <w:rPr>
                <w:sz w:val="22"/>
              </w:rPr>
              <w:t>Sîmboteanu</w:t>
            </w:r>
            <w:r>
              <w:rPr>
                <w:spacing w:val="-14"/>
                <w:sz w:val="22"/>
              </w:rPr>
              <w:t> </w:t>
            </w:r>
            <w:r>
              <w:rPr>
                <w:sz w:val="22"/>
              </w:rPr>
              <w:t>A.</w:t>
            </w:r>
            <w:r>
              <w:rPr>
                <w:spacing w:val="-14"/>
                <w:sz w:val="22"/>
              </w:rPr>
              <w:t> </w:t>
            </w:r>
            <w:r>
              <w:rPr>
                <w:sz w:val="22"/>
              </w:rPr>
              <w:t>Determinante</w:t>
            </w:r>
            <w:r>
              <w:rPr>
                <w:spacing w:val="-14"/>
                <w:sz w:val="22"/>
              </w:rPr>
              <w:t> </w:t>
            </w:r>
            <w:r>
              <w:rPr>
                <w:sz w:val="22"/>
              </w:rPr>
              <w:t>conceptual-metodologice</w:t>
            </w:r>
            <w:r>
              <w:rPr>
                <w:spacing w:val="-14"/>
                <w:sz w:val="22"/>
              </w:rPr>
              <w:t> </w:t>
            </w:r>
            <w:r>
              <w:rPr>
                <w:sz w:val="22"/>
              </w:rPr>
              <w:t>şi</w:t>
            </w:r>
            <w:r>
              <w:rPr>
                <w:spacing w:val="-13"/>
                <w:sz w:val="22"/>
              </w:rPr>
              <w:t> </w:t>
            </w:r>
            <w:r>
              <w:rPr>
                <w:sz w:val="22"/>
              </w:rPr>
              <w:t>aplicative</w:t>
            </w:r>
            <w:r>
              <w:rPr>
                <w:spacing w:val="-14"/>
                <w:sz w:val="22"/>
              </w:rPr>
              <w:t> </w:t>
            </w:r>
            <w:r>
              <w:rPr>
                <w:sz w:val="22"/>
              </w:rPr>
              <w:t>între</w:t>
            </w:r>
            <w:r>
              <w:rPr>
                <w:spacing w:val="-14"/>
                <w:sz w:val="22"/>
              </w:rPr>
              <w:t> </w:t>
            </w:r>
            <w:r>
              <w:rPr>
                <w:sz w:val="22"/>
              </w:rPr>
              <w:t>democratizarea</w:t>
            </w:r>
            <w:r>
              <w:rPr>
                <w:spacing w:val="-11"/>
                <w:sz w:val="22"/>
              </w:rPr>
              <w:t> </w:t>
            </w:r>
            <w:r>
              <w:rPr>
                <w:sz w:val="22"/>
              </w:rPr>
              <w:t>sistemului politic</w:t>
            </w:r>
            <w:r>
              <w:rPr>
                <w:spacing w:val="-1"/>
                <w:sz w:val="22"/>
              </w:rPr>
              <w:t> </w:t>
            </w:r>
            <w:r>
              <w:rPr>
                <w:sz w:val="22"/>
              </w:rPr>
              <w:t>şi</w:t>
            </w:r>
            <w:r>
              <w:rPr>
                <w:spacing w:val="-2"/>
                <w:sz w:val="22"/>
              </w:rPr>
              <w:t> </w:t>
            </w:r>
            <w:r>
              <w:rPr>
                <w:sz w:val="22"/>
              </w:rPr>
              <w:t>modernizarea administraţiei</w:t>
            </w:r>
            <w:r>
              <w:rPr>
                <w:spacing w:val="-3"/>
                <w:sz w:val="22"/>
              </w:rPr>
              <w:t> </w:t>
            </w:r>
            <w:r>
              <w:rPr>
                <w:sz w:val="22"/>
              </w:rPr>
              <w:t>publice. In:</w:t>
            </w:r>
            <w:r>
              <w:rPr>
                <w:spacing w:val="-3"/>
                <w:sz w:val="22"/>
              </w:rPr>
              <w:t> </w:t>
            </w:r>
            <w:r>
              <w:rPr>
                <w:sz w:val="22"/>
              </w:rPr>
              <w:t>Modernizarea</w:t>
            </w:r>
            <w:r>
              <w:rPr>
                <w:spacing w:val="-1"/>
                <w:sz w:val="22"/>
              </w:rPr>
              <w:t> </w:t>
            </w:r>
            <w:r>
              <w:rPr>
                <w:sz w:val="22"/>
              </w:rPr>
              <w:t>administraţiei</w:t>
            </w:r>
            <w:r>
              <w:rPr>
                <w:spacing w:val="-3"/>
                <w:sz w:val="22"/>
              </w:rPr>
              <w:t> </w:t>
            </w:r>
            <w:r>
              <w:rPr>
                <w:sz w:val="22"/>
              </w:rPr>
              <w:t>publice</w:t>
            </w:r>
            <w:r>
              <w:rPr>
                <w:spacing w:val="-5"/>
                <w:sz w:val="22"/>
              </w:rPr>
              <w:t> </w:t>
            </w:r>
            <w:r>
              <w:rPr>
                <w:sz w:val="22"/>
              </w:rPr>
              <w:t>în</w:t>
            </w:r>
            <w:r>
              <w:rPr>
                <w:spacing w:val="-4"/>
                <w:sz w:val="22"/>
              </w:rPr>
              <w:t> </w:t>
            </w:r>
            <w:r>
              <w:rPr>
                <w:sz w:val="22"/>
              </w:rPr>
              <w:t>contextul</w:t>
            </w:r>
          </w:p>
        </w:tc>
      </w:tr>
    </w:tbl>
    <w:p>
      <w:pPr>
        <w:pStyle w:val="TableParagraph"/>
        <w:spacing w:after="0" w:line="294" w:lineRule="exact"/>
        <w:jc w:val="left"/>
        <w:rPr>
          <w:sz w:val="22"/>
        </w:rPr>
        <w:sectPr>
          <w:type w:val="continuous"/>
          <w:pgSz w:w="11910" w:h="16840"/>
          <w:pgMar w:top="460" w:bottom="280" w:left="566" w:right="566"/>
        </w:sectPr>
      </w:pPr>
    </w:p>
    <w:p>
      <w:pPr>
        <w:pStyle w:val="BodyText"/>
        <w:ind w:right="0"/>
        <w:rPr>
          <w:sz w:val="20"/>
        </w:rPr>
      </w:pPr>
      <w:r>
        <w:rPr>
          <w:sz w:val="20"/>
        </w:rPr>
        <mc:AlternateContent>
          <mc:Choice Requires="wps">
            <w:drawing>
              <wp:anchor distT="0" distB="0" distL="0" distR="0" allowOverlap="1" layoutInCell="1" locked="0" behindDoc="0" simplePos="0" relativeHeight="15729152">
                <wp:simplePos x="0" y="0"/>
                <wp:positionH relativeFrom="page">
                  <wp:posOffset>1122273</wp:posOffset>
                </wp:positionH>
                <wp:positionV relativeFrom="page">
                  <wp:posOffset>307847</wp:posOffset>
                </wp:positionV>
                <wp:extent cx="5998210" cy="95758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98210" cy="957580"/>
                        </a:xfrm>
                        <a:prstGeom prst="rect">
                          <a:avLst/>
                        </a:prstGeom>
                        <a:ln w="6096">
                          <a:solidFill>
                            <a:srgbClr val="000000"/>
                          </a:solidFill>
                          <a:prstDash val="solid"/>
                        </a:ln>
                      </wps:spPr>
                      <wps:txbx>
                        <w:txbxContent>
                          <w:p>
                            <w:pPr>
                              <w:pStyle w:val="BodyText"/>
                              <w:spacing w:line="278" w:lineRule="auto"/>
                              <w:ind w:left="720"/>
                            </w:pPr>
                            <w:r>
                              <w:rPr/>
                              <w:t>democratizării</w:t>
                            </w:r>
                            <w:r>
                              <w:rPr>
                                <w:spacing w:val="-1"/>
                              </w:rPr>
                              <w:t> </w:t>
                            </w:r>
                            <w:r>
                              <w:rPr/>
                              <w:t>sistemului</w:t>
                            </w:r>
                            <w:r>
                              <w:rPr>
                                <w:spacing w:val="-1"/>
                              </w:rPr>
                              <w:t> </w:t>
                            </w:r>
                            <w:r>
                              <w:rPr/>
                              <w:t>politic şi proceselor integraţioniste. Chișinău:CEP USM, 2010. p. 13-29. ISBN 9789974710572.</w:t>
                            </w:r>
                          </w:p>
                          <w:p>
                            <w:pPr>
                              <w:numPr>
                                <w:ilvl w:val="0"/>
                                <w:numId w:val="3"/>
                              </w:numPr>
                              <w:tabs>
                                <w:tab w:pos="719" w:val="left" w:leader="none"/>
                              </w:tabs>
                              <w:spacing w:line="247" w:lineRule="exact" w:before="0"/>
                              <w:ind w:left="719" w:right="0" w:hanging="359"/>
                              <w:jc w:val="left"/>
                              <w:rPr>
                                <w:sz w:val="22"/>
                              </w:rPr>
                            </w:pPr>
                            <w:r>
                              <w:rPr>
                                <w:sz w:val="22"/>
                              </w:rPr>
                              <w:t>Moscovici</w:t>
                            </w:r>
                            <w:r>
                              <w:rPr>
                                <w:spacing w:val="31"/>
                                <w:sz w:val="22"/>
                              </w:rPr>
                              <w:t> </w:t>
                            </w:r>
                            <w:r>
                              <w:rPr>
                                <w:sz w:val="22"/>
                              </w:rPr>
                              <w:t>S.,</w:t>
                            </w:r>
                            <w:r>
                              <w:rPr>
                                <w:spacing w:val="47"/>
                                <w:sz w:val="22"/>
                              </w:rPr>
                              <w:t> </w:t>
                            </w:r>
                            <w:r>
                              <w:rPr>
                                <w:sz w:val="22"/>
                              </w:rPr>
                              <w:t>Buschini</w:t>
                            </w:r>
                            <w:r>
                              <w:rPr>
                                <w:spacing w:val="42"/>
                                <w:sz w:val="22"/>
                              </w:rPr>
                              <w:t> </w:t>
                            </w:r>
                            <w:r>
                              <w:rPr>
                                <w:sz w:val="22"/>
                              </w:rPr>
                              <w:t>F.(coord.).</w:t>
                            </w:r>
                            <w:r>
                              <w:rPr>
                                <w:spacing w:val="5"/>
                                <w:sz w:val="22"/>
                              </w:rPr>
                              <w:t> </w:t>
                            </w:r>
                            <w:r>
                              <w:rPr>
                                <w:i/>
                                <w:sz w:val="22"/>
                              </w:rPr>
                              <w:t>Metodologia</w:t>
                            </w:r>
                            <w:r>
                              <w:rPr>
                                <w:i/>
                                <w:spacing w:val="-8"/>
                                <w:sz w:val="22"/>
                              </w:rPr>
                              <w:t> </w:t>
                            </w:r>
                            <w:r>
                              <w:rPr>
                                <w:i/>
                                <w:sz w:val="22"/>
                              </w:rPr>
                              <w:t>științelor</w:t>
                            </w:r>
                            <w:r>
                              <w:rPr>
                                <w:i/>
                                <w:spacing w:val="-1"/>
                                <w:sz w:val="22"/>
                              </w:rPr>
                              <w:t> </w:t>
                            </w:r>
                            <w:r>
                              <w:rPr>
                                <w:i/>
                                <w:sz w:val="22"/>
                              </w:rPr>
                              <w:t>socioumane</w:t>
                            </w:r>
                            <w:r>
                              <w:rPr>
                                <w:sz w:val="22"/>
                              </w:rPr>
                              <w:t>.</w:t>
                            </w:r>
                            <w:r>
                              <w:rPr>
                                <w:spacing w:val="-1"/>
                                <w:sz w:val="22"/>
                              </w:rPr>
                              <w:t> </w:t>
                            </w:r>
                            <w:r>
                              <w:rPr>
                                <w:sz w:val="22"/>
                              </w:rPr>
                              <w:t>Iași:</w:t>
                            </w:r>
                            <w:r>
                              <w:rPr>
                                <w:spacing w:val="-6"/>
                                <w:sz w:val="22"/>
                              </w:rPr>
                              <w:t> </w:t>
                            </w:r>
                            <w:r>
                              <w:rPr>
                                <w:spacing w:val="-2"/>
                                <w:sz w:val="22"/>
                              </w:rPr>
                              <w:t>Polirom.</w:t>
                            </w:r>
                          </w:p>
                          <w:p>
                            <w:pPr>
                              <w:numPr>
                                <w:ilvl w:val="0"/>
                                <w:numId w:val="3"/>
                              </w:numPr>
                              <w:tabs>
                                <w:tab w:pos="719" w:val="left" w:leader="none"/>
                              </w:tabs>
                              <w:spacing w:line="309" w:lineRule="auto" w:before="11"/>
                              <w:ind w:left="360" w:right="2577" w:firstLine="0"/>
                              <w:jc w:val="left"/>
                              <w:rPr>
                                <w:sz w:val="22"/>
                              </w:rPr>
                            </w:pPr>
                            <w:r>
                              <w:rPr>
                                <w:sz w:val="22"/>
                              </w:rPr>
                              <w:t>Platon</w:t>
                            </w:r>
                            <w:r>
                              <w:rPr>
                                <w:spacing w:val="-8"/>
                                <w:sz w:val="22"/>
                              </w:rPr>
                              <w:t> </w:t>
                            </w:r>
                            <w:r>
                              <w:rPr>
                                <w:sz w:val="22"/>
                              </w:rPr>
                              <w:t>C. </w:t>
                            </w:r>
                            <w:r>
                              <w:rPr>
                                <w:i/>
                                <w:sz w:val="22"/>
                              </w:rPr>
                              <w:t>Introducere</w:t>
                            </w:r>
                            <w:r>
                              <w:rPr>
                                <w:i/>
                                <w:spacing w:val="-5"/>
                                <w:sz w:val="22"/>
                              </w:rPr>
                              <w:t> </w:t>
                            </w:r>
                            <w:r>
                              <w:rPr>
                                <w:i/>
                                <w:sz w:val="22"/>
                              </w:rPr>
                              <w:t>în</w:t>
                            </w:r>
                            <w:r>
                              <w:rPr>
                                <w:i/>
                                <w:spacing w:val="-4"/>
                                <w:sz w:val="22"/>
                              </w:rPr>
                              <w:t> </w:t>
                            </w:r>
                            <w:r>
                              <w:rPr>
                                <w:i/>
                                <w:sz w:val="22"/>
                              </w:rPr>
                              <w:t>psihodiagnostic</w:t>
                            </w:r>
                            <w:r>
                              <w:rPr>
                                <w:sz w:val="22"/>
                              </w:rPr>
                              <w:t>.</w:t>
                            </w:r>
                            <w:r>
                              <w:rPr>
                                <w:spacing w:val="-6"/>
                                <w:sz w:val="22"/>
                              </w:rPr>
                              <w:t> </w:t>
                            </w:r>
                            <w:r>
                              <w:rPr>
                                <w:sz w:val="22"/>
                              </w:rPr>
                              <w:t>Chișinău:</w:t>
                            </w:r>
                            <w:r>
                              <w:rPr>
                                <w:spacing w:val="-7"/>
                                <w:sz w:val="22"/>
                              </w:rPr>
                              <w:t> </w:t>
                            </w:r>
                            <w:r>
                              <w:rPr>
                                <w:sz w:val="22"/>
                              </w:rPr>
                              <w:t>CEP</w:t>
                            </w:r>
                            <w:r>
                              <w:rPr>
                                <w:spacing w:val="-3"/>
                                <w:sz w:val="22"/>
                              </w:rPr>
                              <w:t> </w:t>
                            </w:r>
                            <w:r>
                              <w:rPr>
                                <w:sz w:val="22"/>
                              </w:rPr>
                              <w:t>USM,</w:t>
                            </w:r>
                            <w:r>
                              <w:rPr>
                                <w:spacing w:val="-5"/>
                                <w:sz w:val="22"/>
                              </w:rPr>
                              <w:t> </w:t>
                            </w:r>
                            <w:r>
                              <w:rPr>
                                <w:sz w:val="22"/>
                              </w:rPr>
                              <w:t>2003. </w:t>
                            </w:r>
                            <w:r>
                              <w:rPr>
                                <w:spacing w:val="-6"/>
                                <w:sz w:val="22"/>
                              </w:rPr>
                              <w:t>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8.367996pt;margin-top:24.239983pt;width:472.3pt;height:75.4pt;mso-position-horizontal-relative:page;mso-position-vertical-relative:page;z-index:15729152" type="#_x0000_t202" id="docshape1" filled="false" stroked="true" strokeweight=".48004pt" strokecolor="#000000">
                <v:textbox inset="0,0,0,0">
                  <w:txbxContent>
                    <w:p>
                      <w:pPr>
                        <w:pStyle w:val="BodyText"/>
                        <w:spacing w:line="278" w:lineRule="auto"/>
                        <w:ind w:left="720"/>
                      </w:pPr>
                      <w:r>
                        <w:rPr/>
                        <w:t>democratizării</w:t>
                      </w:r>
                      <w:r>
                        <w:rPr>
                          <w:spacing w:val="-1"/>
                        </w:rPr>
                        <w:t> </w:t>
                      </w:r>
                      <w:r>
                        <w:rPr/>
                        <w:t>sistemului</w:t>
                      </w:r>
                      <w:r>
                        <w:rPr>
                          <w:spacing w:val="-1"/>
                        </w:rPr>
                        <w:t> </w:t>
                      </w:r>
                      <w:r>
                        <w:rPr/>
                        <w:t>politic şi proceselor integraţioniste. Chișinău:CEP USM, 2010. p. 13-29. ISBN 9789974710572.</w:t>
                      </w:r>
                    </w:p>
                    <w:p>
                      <w:pPr>
                        <w:numPr>
                          <w:ilvl w:val="0"/>
                          <w:numId w:val="3"/>
                        </w:numPr>
                        <w:tabs>
                          <w:tab w:pos="719" w:val="left" w:leader="none"/>
                        </w:tabs>
                        <w:spacing w:line="247" w:lineRule="exact" w:before="0"/>
                        <w:ind w:left="719" w:right="0" w:hanging="359"/>
                        <w:jc w:val="left"/>
                        <w:rPr>
                          <w:sz w:val="22"/>
                        </w:rPr>
                      </w:pPr>
                      <w:r>
                        <w:rPr>
                          <w:sz w:val="22"/>
                        </w:rPr>
                        <w:t>Moscovici</w:t>
                      </w:r>
                      <w:r>
                        <w:rPr>
                          <w:spacing w:val="31"/>
                          <w:sz w:val="22"/>
                        </w:rPr>
                        <w:t> </w:t>
                      </w:r>
                      <w:r>
                        <w:rPr>
                          <w:sz w:val="22"/>
                        </w:rPr>
                        <w:t>S.,</w:t>
                      </w:r>
                      <w:r>
                        <w:rPr>
                          <w:spacing w:val="47"/>
                          <w:sz w:val="22"/>
                        </w:rPr>
                        <w:t> </w:t>
                      </w:r>
                      <w:r>
                        <w:rPr>
                          <w:sz w:val="22"/>
                        </w:rPr>
                        <w:t>Buschini</w:t>
                      </w:r>
                      <w:r>
                        <w:rPr>
                          <w:spacing w:val="42"/>
                          <w:sz w:val="22"/>
                        </w:rPr>
                        <w:t> </w:t>
                      </w:r>
                      <w:r>
                        <w:rPr>
                          <w:sz w:val="22"/>
                        </w:rPr>
                        <w:t>F.(coord.).</w:t>
                      </w:r>
                      <w:r>
                        <w:rPr>
                          <w:spacing w:val="5"/>
                          <w:sz w:val="22"/>
                        </w:rPr>
                        <w:t> </w:t>
                      </w:r>
                      <w:r>
                        <w:rPr>
                          <w:i/>
                          <w:sz w:val="22"/>
                        </w:rPr>
                        <w:t>Metodologia</w:t>
                      </w:r>
                      <w:r>
                        <w:rPr>
                          <w:i/>
                          <w:spacing w:val="-8"/>
                          <w:sz w:val="22"/>
                        </w:rPr>
                        <w:t> </w:t>
                      </w:r>
                      <w:r>
                        <w:rPr>
                          <w:i/>
                          <w:sz w:val="22"/>
                        </w:rPr>
                        <w:t>științelor</w:t>
                      </w:r>
                      <w:r>
                        <w:rPr>
                          <w:i/>
                          <w:spacing w:val="-1"/>
                          <w:sz w:val="22"/>
                        </w:rPr>
                        <w:t> </w:t>
                      </w:r>
                      <w:r>
                        <w:rPr>
                          <w:i/>
                          <w:sz w:val="22"/>
                        </w:rPr>
                        <w:t>socioumane</w:t>
                      </w:r>
                      <w:r>
                        <w:rPr>
                          <w:sz w:val="22"/>
                        </w:rPr>
                        <w:t>.</w:t>
                      </w:r>
                      <w:r>
                        <w:rPr>
                          <w:spacing w:val="-1"/>
                          <w:sz w:val="22"/>
                        </w:rPr>
                        <w:t> </w:t>
                      </w:r>
                      <w:r>
                        <w:rPr>
                          <w:sz w:val="22"/>
                        </w:rPr>
                        <w:t>Iași:</w:t>
                      </w:r>
                      <w:r>
                        <w:rPr>
                          <w:spacing w:val="-6"/>
                          <w:sz w:val="22"/>
                        </w:rPr>
                        <w:t> </w:t>
                      </w:r>
                      <w:r>
                        <w:rPr>
                          <w:spacing w:val="-2"/>
                          <w:sz w:val="22"/>
                        </w:rPr>
                        <w:t>Polirom.</w:t>
                      </w:r>
                    </w:p>
                    <w:p>
                      <w:pPr>
                        <w:numPr>
                          <w:ilvl w:val="0"/>
                          <w:numId w:val="3"/>
                        </w:numPr>
                        <w:tabs>
                          <w:tab w:pos="719" w:val="left" w:leader="none"/>
                        </w:tabs>
                        <w:spacing w:line="309" w:lineRule="auto" w:before="11"/>
                        <w:ind w:left="360" w:right="2577" w:firstLine="0"/>
                        <w:jc w:val="left"/>
                        <w:rPr>
                          <w:sz w:val="22"/>
                        </w:rPr>
                      </w:pPr>
                      <w:r>
                        <w:rPr>
                          <w:sz w:val="22"/>
                        </w:rPr>
                        <w:t>Platon</w:t>
                      </w:r>
                      <w:r>
                        <w:rPr>
                          <w:spacing w:val="-8"/>
                          <w:sz w:val="22"/>
                        </w:rPr>
                        <w:t> </w:t>
                      </w:r>
                      <w:r>
                        <w:rPr>
                          <w:sz w:val="22"/>
                        </w:rPr>
                        <w:t>C. </w:t>
                      </w:r>
                      <w:r>
                        <w:rPr>
                          <w:i/>
                          <w:sz w:val="22"/>
                        </w:rPr>
                        <w:t>Introducere</w:t>
                      </w:r>
                      <w:r>
                        <w:rPr>
                          <w:i/>
                          <w:spacing w:val="-5"/>
                          <w:sz w:val="22"/>
                        </w:rPr>
                        <w:t> </w:t>
                      </w:r>
                      <w:r>
                        <w:rPr>
                          <w:i/>
                          <w:sz w:val="22"/>
                        </w:rPr>
                        <w:t>în</w:t>
                      </w:r>
                      <w:r>
                        <w:rPr>
                          <w:i/>
                          <w:spacing w:val="-4"/>
                          <w:sz w:val="22"/>
                        </w:rPr>
                        <w:t> </w:t>
                      </w:r>
                      <w:r>
                        <w:rPr>
                          <w:i/>
                          <w:sz w:val="22"/>
                        </w:rPr>
                        <w:t>psihodiagnostic</w:t>
                      </w:r>
                      <w:r>
                        <w:rPr>
                          <w:sz w:val="22"/>
                        </w:rPr>
                        <w:t>.</w:t>
                      </w:r>
                      <w:r>
                        <w:rPr>
                          <w:spacing w:val="-6"/>
                          <w:sz w:val="22"/>
                        </w:rPr>
                        <w:t> </w:t>
                      </w:r>
                      <w:r>
                        <w:rPr>
                          <w:sz w:val="22"/>
                        </w:rPr>
                        <w:t>Chișinău:</w:t>
                      </w:r>
                      <w:r>
                        <w:rPr>
                          <w:spacing w:val="-7"/>
                          <w:sz w:val="22"/>
                        </w:rPr>
                        <w:t> </w:t>
                      </w:r>
                      <w:r>
                        <w:rPr>
                          <w:sz w:val="22"/>
                        </w:rPr>
                        <w:t>CEP</w:t>
                      </w:r>
                      <w:r>
                        <w:rPr>
                          <w:spacing w:val="-3"/>
                          <w:sz w:val="22"/>
                        </w:rPr>
                        <w:t> </w:t>
                      </w:r>
                      <w:r>
                        <w:rPr>
                          <w:sz w:val="22"/>
                        </w:rPr>
                        <w:t>USM,</w:t>
                      </w:r>
                      <w:r>
                        <w:rPr>
                          <w:spacing w:val="-5"/>
                          <w:sz w:val="22"/>
                        </w:rPr>
                        <w:t> </w:t>
                      </w:r>
                      <w:r>
                        <w:rPr>
                          <w:sz w:val="22"/>
                        </w:rPr>
                        <w:t>2003. </w:t>
                      </w:r>
                      <w:r>
                        <w:rPr>
                          <w:spacing w:val="-6"/>
                          <w:sz w:val="22"/>
                        </w:rPr>
                        <w:t>9.</w:t>
                      </w:r>
                    </w:p>
                  </w:txbxContent>
                </v:textbox>
                <v:stroke dashstyle="solid"/>
                <w10:wrap type="none"/>
              </v:shape>
            </w:pict>
          </mc:Fallback>
        </mc:AlternateContent>
      </w:r>
      <w:r>
        <w:rPr>
          <w:sz w:val="20"/>
        </w:rPr>
        <mc:AlternateContent>
          <mc:Choice Requires="wps">
            <w:drawing>
              <wp:inline distT="0" distB="0" distL="0" distR="0">
                <wp:extent cx="735330" cy="963930"/>
                <wp:effectExtent l="0" t="0" r="0" b="0"/>
                <wp:docPr id="2" name="Group 2"/>
                <wp:cNvGraphicFramePr>
                  <a:graphicFrameLocks/>
                </wp:cNvGraphicFramePr>
                <a:graphic>
                  <a:graphicData uri="http://schemas.microsoft.com/office/word/2010/wordprocessingGroup">
                    <wpg:wgp>
                      <wpg:cNvPr id="2" name="Group 2"/>
                      <wpg:cNvGrpSpPr/>
                      <wpg:grpSpPr>
                        <a:xfrm>
                          <a:off x="0" y="0"/>
                          <a:ext cx="735330" cy="963930"/>
                          <a:chExt cx="735330" cy="963930"/>
                        </a:xfrm>
                      </wpg:grpSpPr>
                      <wps:wsp>
                        <wps:cNvPr id="3" name="Graphic 3"/>
                        <wps:cNvSpPr/>
                        <wps:spPr>
                          <a:xfrm>
                            <a:off x="0" y="0"/>
                            <a:ext cx="735330" cy="963930"/>
                          </a:xfrm>
                          <a:custGeom>
                            <a:avLst/>
                            <a:gdLst/>
                            <a:ahLst/>
                            <a:cxnLst/>
                            <a:rect l="l" t="t" r="r" b="b"/>
                            <a:pathLst>
                              <a:path w="735330" h="963930">
                                <a:moveTo>
                                  <a:pt x="734872" y="0"/>
                                </a:moveTo>
                                <a:lnTo>
                                  <a:pt x="6096" y="0"/>
                                </a:lnTo>
                                <a:lnTo>
                                  <a:pt x="0" y="0"/>
                                </a:lnTo>
                                <a:lnTo>
                                  <a:pt x="0" y="6045"/>
                                </a:lnTo>
                                <a:lnTo>
                                  <a:pt x="0" y="957326"/>
                                </a:lnTo>
                                <a:lnTo>
                                  <a:pt x="0" y="963422"/>
                                </a:lnTo>
                                <a:lnTo>
                                  <a:pt x="6096" y="963422"/>
                                </a:lnTo>
                                <a:lnTo>
                                  <a:pt x="734872" y="963422"/>
                                </a:lnTo>
                                <a:lnTo>
                                  <a:pt x="734872" y="957326"/>
                                </a:lnTo>
                                <a:lnTo>
                                  <a:pt x="6096" y="957326"/>
                                </a:lnTo>
                                <a:lnTo>
                                  <a:pt x="6096" y="6096"/>
                                </a:lnTo>
                                <a:lnTo>
                                  <a:pt x="734872" y="6096"/>
                                </a:lnTo>
                                <a:lnTo>
                                  <a:pt x="7348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7.9pt;height:75.9pt;mso-position-horizontal-relative:char;mso-position-vertical-relative:line" id="docshapegroup2" coordorigin="0,0" coordsize="1158,1518">
                <v:shape style="position:absolute;left:0;top:0;width:1158;height:1518" id="docshape3" coordorigin="0,0" coordsize="1158,1518" path="m1157,0l10,0,0,0,0,10,0,1508,0,1517,10,1517,1157,1517,1157,1508,10,1508,10,10,1157,10,1157,0xe" filled="true" fillcolor="#000000" stroked="false">
                  <v:path arrowok="t"/>
                  <v:fill type="solid"/>
                </v:shape>
              </v:group>
            </w:pict>
          </mc:Fallback>
        </mc:AlternateContent>
      </w:r>
      <w:r>
        <w:rPr>
          <w:sz w:val="20"/>
        </w:rPr>
      </w:r>
    </w:p>
    <w:sectPr>
      <w:pgSz w:w="11910" w:h="16840"/>
      <w:pgMar w:top="46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7"/>
      <w:numFmt w:val="decimal"/>
      <w:lvlText w:val="%1."/>
      <w:lvlJc w:val="left"/>
      <w:pPr>
        <w:ind w:left="720"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1" w:hanging="360"/>
      </w:pPr>
      <w:rPr>
        <w:rFonts w:hint="default"/>
        <w:lang w:val="ro-RO" w:eastAsia="en-US" w:bidi="ar-SA"/>
      </w:rPr>
    </w:lvl>
    <w:lvl w:ilvl="2">
      <w:start w:val="0"/>
      <w:numFmt w:val="bullet"/>
      <w:lvlText w:val="•"/>
      <w:lvlJc w:val="left"/>
      <w:pPr>
        <w:ind w:left="2463" w:hanging="360"/>
      </w:pPr>
      <w:rPr>
        <w:rFonts w:hint="default"/>
        <w:lang w:val="ro-RO" w:eastAsia="en-US" w:bidi="ar-SA"/>
      </w:rPr>
    </w:lvl>
    <w:lvl w:ilvl="3">
      <w:start w:val="0"/>
      <w:numFmt w:val="bullet"/>
      <w:lvlText w:val="•"/>
      <w:lvlJc w:val="left"/>
      <w:pPr>
        <w:ind w:left="3334" w:hanging="360"/>
      </w:pPr>
      <w:rPr>
        <w:rFonts w:hint="default"/>
        <w:lang w:val="ro-RO" w:eastAsia="en-US" w:bidi="ar-SA"/>
      </w:rPr>
    </w:lvl>
    <w:lvl w:ilvl="4">
      <w:start w:val="0"/>
      <w:numFmt w:val="bullet"/>
      <w:lvlText w:val="•"/>
      <w:lvlJc w:val="left"/>
      <w:pPr>
        <w:ind w:left="4206" w:hanging="360"/>
      </w:pPr>
      <w:rPr>
        <w:rFonts w:hint="default"/>
        <w:lang w:val="ro-RO" w:eastAsia="en-US" w:bidi="ar-SA"/>
      </w:rPr>
    </w:lvl>
    <w:lvl w:ilvl="5">
      <w:start w:val="0"/>
      <w:numFmt w:val="bullet"/>
      <w:lvlText w:val="•"/>
      <w:lvlJc w:val="left"/>
      <w:pPr>
        <w:ind w:left="5077" w:hanging="360"/>
      </w:pPr>
      <w:rPr>
        <w:rFonts w:hint="default"/>
        <w:lang w:val="ro-RO" w:eastAsia="en-US" w:bidi="ar-SA"/>
      </w:rPr>
    </w:lvl>
    <w:lvl w:ilvl="6">
      <w:start w:val="0"/>
      <w:numFmt w:val="bullet"/>
      <w:lvlText w:val="•"/>
      <w:lvlJc w:val="left"/>
      <w:pPr>
        <w:ind w:left="5949" w:hanging="360"/>
      </w:pPr>
      <w:rPr>
        <w:rFonts w:hint="default"/>
        <w:lang w:val="ro-RO" w:eastAsia="en-US" w:bidi="ar-SA"/>
      </w:rPr>
    </w:lvl>
    <w:lvl w:ilvl="7">
      <w:start w:val="0"/>
      <w:numFmt w:val="bullet"/>
      <w:lvlText w:val="•"/>
      <w:lvlJc w:val="left"/>
      <w:pPr>
        <w:ind w:left="6820" w:hanging="360"/>
      </w:pPr>
      <w:rPr>
        <w:rFonts w:hint="default"/>
        <w:lang w:val="ro-RO" w:eastAsia="en-US" w:bidi="ar-SA"/>
      </w:rPr>
    </w:lvl>
    <w:lvl w:ilvl="8">
      <w:start w:val="0"/>
      <w:numFmt w:val="bullet"/>
      <w:lvlText w:val="•"/>
      <w:lvlJc w:val="left"/>
      <w:pPr>
        <w:ind w:left="7692" w:hanging="360"/>
      </w:pPr>
      <w:rPr>
        <w:rFonts w:hint="default"/>
        <w:lang w:val="ro-RO" w:eastAsia="en-US" w:bidi="ar-SA"/>
      </w:rPr>
    </w:lvl>
  </w:abstractNum>
  <w:abstractNum w:abstractNumId="1">
    <w:multiLevelType w:val="hybridMultilevel"/>
    <w:lvl w:ilvl="0">
      <w:start w:val="1"/>
      <w:numFmt w:val="decimal"/>
      <w:lvlText w:val="%1."/>
      <w:lvlJc w:val="left"/>
      <w:pPr>
        <w:ind w:left="724" w:hanging="360"/>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591" w:hanging="360"/>
      </w:pPr>
      <w:rPr>
        <w:rFonts w:hint="default"/>
        <w:lang w:val="ro-RO" w:eastAsia="en-US" w:bidi="ar-SA"/>
      </w:rPr>
    </w:lvl>
    <w:lvl w:ilvl="2">
      <w:start w:val="0"/>
      <w:numFmt w:val="bullet"/>
      <w:lvlText w:val="•"/>
      <w:lvlJc w:val="left"/>
      <w:pPr>
        <w:ind w:left="2463" w:hanging="360"/>
      </w:pPr>
      <w:rPr>
        <w:rFonts w:hint="default"/>
        <w:lang w:val="ro-RO" w:eastAsia="en-US" w:bidi="ar-SA"/>
      </w:rPr>
    </w:lvl>
    <w:lvl w:ilvl="3">
      <w:start w:val="0"/>
      <w:numFmt w:val="bullet"/>
      <w:lvlText w:val="•"/>
      <w:lvlJc w:val="left"/>
      <w:pPr>
        <w:ind w:left="3334" w:hanging="360"/>
      </w:pPr>
      <w:rPr>
        <w:rFonts w:hint="default"/>
        <w:lang w:val="ro-RO" w:eastAsia="en-US" w:bidi="ar-SA"/>
      </w:rPr>
    </w:lvl>
    <w:lvl w:ilvl="4">
      <w:start w:val="0"/>
      <w:numFmt w:val="bullet"/>
      <w:lvlText w:val="•"/>
      <w:lvlJc w:val="left"/>
      <w:pPr>
        <w:ind w:left="4206" w:hanging="360"/>
      </w:pPr>
      <w:rPr>
        <w:rFonts w:hint="default"/>
        <w:lang w:val="ro-RO" w:eastAsia="en-US" w:bidi="ar-SA"/>
      </w:rPr>
    </w:lvl>
    <w:lvl w:ilvl="5">
      <w:start w:val="0"/>
      <w:numFmt w:val="bullet"/>
      <w:lvlText w:val="•"/>
      <w:lvlJc w:val="left"/>
      <w:pPr>
        <w:ind w:left="5078" w:hanging="360"/>
      </w:pPr>
      <w:rPr>
        <w:rFonts w:hint="default"/>
        <w:lang w:val="ro-RO" w:eastAsia="en-US" w:bidi="ar-SA"/>
      </w:rPr>
    </w:lvl>
    <w:lvl w:ilvl="6">
      <w:start w:val="0"/>
      <w:numFmt w:val="bullet"/>
      <w:lvlText w:val="•"/>
      <w:lvlJc w:val="left"/>
      <w:pPr>
        <w:ind w:left="5949" w:hanging="360"/>
      </w:pPr>
      <w:rPr>
        <w:rFonts w:hint="default"/>
        <w:lang w:val="ro-RO" w:eastAsia="en-US" w:bidi="ar-SA"/>
      </w:rPr>
    </w:lvl>
    <w:lvl w:ilvl="7">
      <w:start w:val="0"/>
      <w:numFmt w:val="bullet"/>
      <w:lvlText w:val="•"/>
      <w:lvlJc w:val="left"/>
      <w:pPr>
        <w:ind w:left="6821" w:hanging="360"/>
      </w:pPr>
      <w:rPr>
        <w:rFonts w:hint="default"/>
        <w:lang w:val="ro-RO" w:eastAsia="en-US" w:bidi="ar-SA"/>
      </w:rPr>
    </w:lvl>
    <w:lvl w:ilvl="8">
      <w:start w:val="0"/>
      <w:numFmt w:val="bullet"/>
      <w:lvlText w:val="•"/>
      <w:lvlJc w:val="left"/>
      <w:pPr>
        <w:ind w:left="7692" w:hanging="360"/>
      </w:pPr>
      <w:rPr>
        <w:rFonts w:hint="default"/>
        <w:lang w:val="ro-RO" w:eastAsia="en-US" w:bidi="ar-SA"/>
      </w:rPr>
    </w:lvl>
  </w:abstractNum>
  <w:abstractNum w:abstractNumId="0">
    <w:multiLevelType w:val="hybridMultilevel"/>
    <w:lvl w:ilvl="0">
      <w:start w:val="1"/>
      <w:numFmt w:val="decimal"/>
      <w:lvlText w:val="%1."/>
      <w:lvlJc w:val="left"/>
      <w:pPr>
        <w:ind w:left="441" w:hanging="361"/>
        <w:jc w:val="left"/>
      </w:pPr>
      <w:rPr>
        <w:rFonts w:hint="default" w:ascii="Times New Roman" w:hAnsi="Times New Roman" w:eastAsia="Times New Roman" w:cs="Times New Roman"/>
        <w:b w:val="0"/>
        <w:bCs w:val="0"/>
        <w:i w:val="0"/>
        <w:iCs w:val="0"/>
        <w:spacing w:val="0"/>
        <w:w w:val="100"/>
        <w:sz w:val="22"/>
        <w:szCs w:val="22"/>
        <w:lang w:val="ro-RO" w:eastAsia="en-US" w:bidi="ar-SA"/>
      </w:rPr>
    </w:lvl>
    <w:lvl w:ilvl="1">
      <w:start w:val="0"/>
      <w:numFmt w:val="bullet"/>
      <w:lvlText w:val="•"/>
      <w:lvlJc w:val="left"/>
      <w:pPr>
        <w:ind w:left="1339" w:hanging="361"/>
      </w:pPr>
      <w:rPr>
        <w:rFonts w:hint="default"/>
        <w:lang w:val="ro-RO" w:eastAsia="en-US" w:bidi="ar-SA"/>
      </w:rPr>
    </w:lvl>
    <w:lvl w:ilvl="2">
      <w:start w:val="0"/>
      <w:numFmt w:val="bullet"/>
      <w:lvlText w:val="•"/>
      <w:lvlJc w:val="left"/>
      <w:pPr>
        <w:ind w:left="2239" w:hanging="361"/>
      </w:pPr>
      <w:rPr>
        <w:rFonts w:hint="default"/>
        <w:lang w:val="ro-RO" w:eastAsia="en-US" w:bidi="ar-SA"/>
      </w:rPr>
    </w:lvl>
    <w:lvl w:ilvl="3">
      <w:start w:val="0"/>
      <w:numFmt w:val="bullet"/>
      <w:lvlText w:val="•"/>
      <w:lvlJc w:val="left"/>
      <w:pPr>
        <w:ind w:left="3138" w:hanging="361"/>
      </w:pPr>
      <w:rPr>
        <w:rFonts w:hint="default"/>
        <w:lang w:val="ro-RO" w:eastAsia="en-US" w:bidi="ar-SA"/>
      </w:rPr>
    </w:lvl>
    <w:lvl w:ilvl="4">
      <w:start w:val="0"/>
      <w:numFmt w:val="bullet"/>
      <w:lvlText w:val="•"/>
      <w:lvlJc w:val="left"/>
      <w:pPr>
        <w:ind w:left="4038" w:hanging="361"/>
      </w:pPr>
      <w:rPr>
        <w:rFonts w:hint="default"/>
        <w:lang w:val="ro-RO" w:eastAsia="en-US" w:bidi="ar-SA"/>
      </w:rPr>
    </w:lvl>
    <w:lvl w:ilvl="5">
      <w:start w:val="0"/>
      <w:numFmt w:val="bullet"/>
      <w:lvlText w:val="•"/>
      <w:lvlJc w:val="left"/>
      <w:pPr>
        <w:ind w:left="4938" w:hanging="361"/>
      </w:pPr>
      <w:rPr>
        <w:rFonts w:hint="default"/>
        <w:lang w:val="ro-RO" w:eastAsia="en-US" w:bidi="ar-SA"/>
      </w:rPr>
    </w:lvl>
    <w:lvl w:ilvl="6">
      <w:start w:val="0"/>
      <w:numFmt w:val="bullet"/>
      <w:lvlText w:val="•"/>
      <w:lvlJc w:val="left"/>
      <w:pPr>
        <w:ind w:left="5837" w:hanging="361"/>
      </w:pPr>
      <w:rPr>
        <w:rFonts w:hint="default"/>
        <w:lang w:val="ro-RO" w:eastAsia="en-US" w:bidi="ar-SA"/>
      </w:rPr>
    </w:lvl>
    <w:lvl w:ilvl="7">
      <w:start w:val="0"/>
      <w:numFmt w:val="bullet"/>
      <w:lvlText w:val="•"/>
      <w:lvlJc w:val="left"/>
      <w:pPr>
        <w:ind w:left="6737" w:hanging="361"/>
      </w:pPr>
      <w:rPr>
        <w:rFonts w:hint="default"/>
        <w:lang w:val="ro-RO" w:eastAsia="en-US" w:bidi="ar-SA"/>
      </w:rPr>
    </w:lvl>
    <w:lvl w:ilvl="8">
      <w:start w:val="0"/>
      <w:numFmt w:val="bullet"/>
      <w:lvlText w:val="•"/>
      <w:lvlJc w:val="left"/>
      <w:pPr>
        <w:ind w:left="7636" w:hanging="361"/>
      </w:pPr>
      <w:rPr>
        <w:rFonts w:hint="default"/>
        <w:lang w:val="ro-RO"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o-RO" w:eastAsia="en-US" w:bidi="ar-SA"/>
    </w:rPr>
  </w:style>
  <w:style w:styleId="BodyText" w:type="paragraph">
    <w:name w:val="Body Text"/>
    <w:basedOn w:val="Normal"/>
    <w:uiPriority w:val="1"/>
    <w:qFormat/>
    <w:pPr>
      <w:ind w:left="39" w:right="-15"/>
    </w:pPr>
    <w:rPr>
      <w:rFonts w:ascii="Times New Roman" w:hAnsi="Times New Roman" w:eastAsia="Times New Roman" w:cs="Times New Roman"/>
      <w:sz w:val="22"/>
      <w:szCs w:val="22"/>
      <w:lang w:val="ro-RO" w:eastAsia="en-US" w:bidi="ar-SA"/>
    </w:rPr>
  </w:style>
  <w:style w:styleId="Title" w:type="paragraph">
    <w:name w:val="Title"/>
    <w:basedOn w:val="Normal"/>
    <w:uiPriority w:val="1"/>
    <w:qFormat/>
    <w:pPr>
      <w:spacing w:before="70" w:after="2"/>
      <w:ind w:left="2723" w:right="4493" w:firstLine="744"/>
    </w:pPr>
    <w:rPr>
      <w:rFonts w:ascii="Times New Roman" w:hAnsi="Times New Roman" w:eastAsia="Times New Roman" w:cs="Times New Roman"/>
      <w:b/>
      <w:bCs/>
      <w:sz w:val="22"/>
      <w:szCs w:val="22"/>
      <w:lang w:val="ro-RO" w:eastAsia="en-US" w:bidi="ar-SA"/>
    </w:rPr>
  </w:style>
  <w:style w:styleId="ListParagraph" w:type="paragraph">
    <w:name w:val="List Paragraph"/>
    <w:basedOn w:val="Normal"/>
    <w:uiPriority w:val="1"/>
    <w:qFormat/>
    <w:pPr/>
    <w:rPr>
      <w:lang w:val="ro-RO" w:eastAsia="en-US" w:bidi="ar-SA"/>
    </w:rPr>
  </w:style>
  <w:style w:styleId="TableParagraph" w:type="paragraph">
    <w:name w:val="Table Paragraph"/>
    <w:basedOn w:val="Normal"/>
    <w:uiPriority w:val="1"/>
    <w:qFormat/>
    <w:pPr>
      <w:ind w:left="110"/>
    </w:pPr>
    <w:rPr>
      <w:rFonts w:ascii="Times New Roman" w:hAnsi="Times New Roman" w:eastAsia="Times New Roman" w:cs="Times New Roman"/>
      <w:lang w:val="ro-RO"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dcterms:created xsi:type="dcterms:W3CDTF">2026-04-08T14:35:22Z</dcterms:created>
  <dcterms:modified xsi:type="dcterms:W3CDTF">2026-04-08T14:35:22Z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2023-04-10T00:00:00Z</vt:filetime>
  </property>
  <property fmtid="{D5CDD505-2E9C-101B-9397-08002B2CF9AE}" pid="3" name="Creator">
    <vt:lpwstr>Microsoft® Word 2016</vt:lpwstr>
  </property>
  <property fmtid="{D5CDD505-2E9C-101B-9397-08002B2CF9AE}" pid="4" name="LastSaved">
    <vt:filetime>2026-04-08T00:00:00Z</vt:filetime>
  </property>
  <property fmtid="{D5CDD505-2E9C-101B-9397-08002B2CF9AE}" pid="5" name="Producer">
    <vt:lpwstr>www.ilovepdf.com</vt:lpwstr>
  </property>
</Properties>
</file>