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r>
        <w:rPr/>
        <w:t>Aprobat:Consiliul</w:t>
      </w:r>
      <w:r>
        <w:rPr>
          <w:spacing w:val="-10"/>
        </w:rPr>
        <w:t> </w:t>
      </w:r>
      <w:r>
        <w:rPr/>
        <w:t>Științific</w:t>
      </w:r>
      <w:r>
        <w:rPr>
          <w:spacing w:val="-13"/>
        </w:rPr>
        <w:t> </w:t>
      </w:r>
      <w:r>
        <w:rPr/>
        <w:t>al USM</w:t>
      </w:r>
      <w:r>
        <w:rPr>
          <w:spacing w:val="-5"/>
        </w:rPr>
        <w:t> </w:t>
      </w:r>
      <w:r>
        <w:rPr/>
        <w:t>Proces</w:t>
      </w:r>
      <w:r>
        <w:rPr>
          <w:spacing w:val="-6"/>
        </w:rPr>
        <w:t> </w:t>
      </w:r>
      <w:r>
        <w:rPr/>
        <w:t>verbal</w:t>
      </w:r>
      <w:r>
        <w:rPr>
          <w:spacing w:val="-5"/>
        </w:rPr>
        <w:t> </w:t>
      </w:r>
      <w:r>
        <w:rPr/>
        <w:t>nr.</w:t>
      </w:r>
      <w:r>
        <w:rPr>
          <w:spacing w:val="1"/>
        </w:rPr>
        <w:t> </w:t>
      </w:r>
      <w:r>
        <w:rPr/>
        <w:t>1,</w:t>
      </w:r>
      <w:r>
        <w:rPr>
          <w:spacing w:val="-1"/>
        </w:rPr>
        <w:t> </w:t>
      </w:r>
      <w:r>
        <w:rPr/>
        <w:t>din</w:t>
      </w:r>
      <w:r>
        <w:rPr>
          <w:spacing w:val="-8"/>
        </w:rPr>
        <w:t> </w:t>
      </w:r>
      <w:r>
        <w:rPr>
          <w:spacing w:val="-2"/>
        </w:rPr>
        <w:t>30.11.22</w:t>
      </w:r>
    </w:p>
    <w:tbl>
      <w:tblPr>
        <w:tblW w:w="0" w:type="auto"/>
        <w:jc w:val="left"/>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5"/>
        <w:gridCol w:w="783"/>
        <w:gridCol w:w="754"/>
        <w:gridCol w:w="134"/>
        <w:gridCol w:w="1901"/>
        <w:gridCol w:w="2429"/>
        <w:gridCol w:w="1354"/>
        <w:gridCol w:w="2160"/>
        <w:gridCol w:w="134"/>
      </w:tblGrid>
      <w:tr>
        <w:trPr>
          <w:trHeight w:val="503" w:hRule="atLeast"/>
        </w:trPr>
        <w:tc>
          <w:tcPr>
            <w:tcW w:w="2622" w:type="dxa"/>
            <w:gridSpan w:val="3"/>
          </w:tcPr>
          <w:p>
            <w:pPr>
              <w:pStyle w:val="TableParagraph"/>
              <w:spacing w:line="230" w:lineRule="exact"/>
              <w:ind w:left="110"/>
              <w:rPr>
                <w:sz w:val="22"/>
              </w:rPr>
            </w:pPr>
            <w:r>
              <w:rPr>
                <w:sz w:val="22"/>
              </w:rPr>
              <w:t>Denumirea</w:t>
            </w:r>
            <w:r>
              <w:rPr>
                <w:spacing w:val="-12"/>
                <w:sz w:val="22"/>
              </w:rPr>
              <w:t> </w:t>
            </w:r>
            <w:r>
              <w:rPr>
                <w:spacing w:val="-2"/>
                <w:sz w:val="22"/>
              </w:rPr>
              <w:t>disciplinei</w:t>
            </w:r>
          </w:p>
        </w:tc>
        <w:tc>
          <w:tcPr>
            <w:tcW w:w="7978" w:type="dxa"/>
            <w:gridSpan w:val="5"/>
            <w:tcBorders>
              <w:bottom w:val="single" w:sz="8" w:space="0" w:color="000000"/>
            </w:tcBorders>
          </w:tcPr>
          <w:p>
            <w:pPr>
              <w:pStyle w:val="TableParagraph"/>
              <w:spacing w:line="244" w:lineRule="exact"/>
              <w:ind w:right="-15"/>
              <w:rPr>
                <w:b/>
                <w:sz w:val="22"/>
              </w:rPr>
            </w:pPr>
            <w:r>
              <w:rPr>
                <w:sz w:val="22"/>
              </w:rPr>
              <w:t>S.02.O.6.</w:t>
            </w:r>
            <w:r>
              <w:rPr>
                <w:spacing w:val="-3"/>
                <w:sz w:val="22"/>
              </w:rPr>
              <w:t> </w:t>
            </w:r>
            <w:r>
              <w:rPr>
                <w:b/>
                <w:sz w:val="22"/>
              </w:rPr>
              <w:t>Tehnici</w:t>
            </w:r>
            <w:r>
              <w:rPr>
                <w:b/>
                <w:spacing w:val="-3"/>
                <w:sz w:val="22"/>
              </w:rPr>
              <w:t> </w:t>
            </w:r>
            <w:r>
              <w:rPr>
                <w:b/>
                <w:sz w:val="22"/>
              </w:rPr>
              <w:t>și</w:t>
            </w:r>
            <w:r>
              <w:rPr>
                <w:b/>
                <w:spacing w:val="-2"/>
                <w:sz w:val="22"/>
              </w:rPr>
              <w:t> </w:t>
            </w:r>
            <w:r>
              <w:rPr>
                <w:b/>
                <w:sz w:val="22"/>
              </w:rPr>
              <w:t>instrumente</w:t>
            </w:r>
            <w:r>
              <w:rPr>
                <w:b/>
                <w:spacing w:val="-1"/>
                <w:sz w:val="22"/>
              </w:rPr>
              <w:t> </w:t>
            </w:r>
            <w:r>
              <w:rPr>
                <w:b/>
                <w:sz w:val="22"/>
              </w:rPr>
              <w:t>de</w:t>
            </w:r>
            <w:r>
              <w:rPr>
                <w:b/>
                <w:spacing w:val="-1"/>
                <w:sz w:val="22"/>
              </w:rPr>
              <w:t> </w:t>
            </w:r>
            <w:r>
              <w:rPr>
                <w:b/>
                <w:sz w:val="22"/>
              </w:rPr>
              <w:t>cercetare științifică</w:t>
            </w:r>
            <w:r>
              <w:rPr>
                <w:b/>
                <w:spacing w:val="-4"/>
                <w:sz w:val="22"/>
              </w:rPr>
              <w:t> </w:t>
            </w:r>
            <w:r>
              <w:rPr>
                <w:b/>
                <w:sz w:val="22"/>
              </w:rPr>
              <w:t>în</w:t>
            </w:r>
            <w:r>
              <w:rPr>
                <w:b/>
                <w:spacing w:val="-6"/>
                <w:sz w:val="22"/>
              </w:rPr>
              <w:t> </w:t>
            </w:r>
            <w:r>
              <w:rPr>
                <w:b/>
                <w:sz w:val="22"/>
              </w:rPr>
              <w:t>domeniul</w:t>
            </w:r>
            <w:r>
              <w:rPr>
                <w:b/>
                <w:spacing w:val="3"/>
                <w:sz w:val="22"/>
              </w:rPr>
              <w:t> </w:t>
            </w:r>
            <w:r>
              <w:rPr>
                <w:b/>
                <w:sz w:val="22"/>
              </w:rPr>
              <w:t>științelor </w:t>
            </w:r>
            <w:r>
              <w:rPr>
                <w:b/>
                <w:spacing w:val="-2"/>
                <w:sz w:val="22"/>
              </w:rPr>
              <w:t>politice</w:t>
            </w:r>
          </w:p>
          <w:p>
            <w:pPr>
              <w:pStyle w:val="TableParagraph"/>
              <w:spacing w:line="233" w:lineRule="exact" w:before="6"/>
              <w:rPr>
                <w:b/>
                <w:sz w:val="22"/>
              </w:rPr>
            </w:pPr>
            <w:r>
              <w:rPr>
                <w:b/>
                <w:sz w:val="22"/>
              </w:rPr>
              <w:t>/ dezvoltărea</w:t>
            </w:r>
            <w:r>
              <w:rPr>
                <w:b/>
                <w:spacing w:val="-6"/>
                <w:sz w:val="22"/>
              </w:rPr>
              <w:t> </w:t>
            </w:r>
            <w:r>
              <w:rPr>
                <w:b/>
                <w:sz w:val="22"/>
              </w:rPr>
              <w:t>globală</w:t>
            </w:r>
            <w:r>
              <w:rPr>
                <w:b/>
                <w:spacing w:val="-6"/>
                <w:sz w:val="22"/>
              </w:rPr>
              <w:t> </w:t>
            </w:r>
            <w:r>
              <w:rPr>
                <w:b/>
                <w:sz w:val="22"/>
              </w:rPr>
              <w:t>și</w:t>
            </w:r>
            <w:r>
              <w:rPr>
                <w:b/>
                <w:spacing w:val="-3"/>
                <w:sz w:val="22"/>
              </w:rPr>
              <w:t> </w:t>
            </w:r>
            <w:r>
              <w:rPr>
                <w:b/>
                <w:spacing w:val="-2"/>
                <w:sz w:val="22"/>
              </w:rPr>
              <w:t>regională</w:t>
            </w:r>
          </w:p>
        </w:tc>
        <w:tc>
          <w:tcPr>
            <w:tcW w:w="134" w:type="dxa"/>
            <w:tcBorders>
              <w:top w:val="nil"/>
              <w:right w:val="nil"/>
            </w:tcBorders>
          </w:tcPr>
          <w:p>
            <w:pPr>
              <w:pStyle w:val="TableParagraph"/>
              <w:ind w:left="0"/>
              <w:rPr>
                <w:sz w:val="22"/>
              </w:rPr>
            </w:pPr>
          </w:p>
        </w:tc>
      </w:tr>
      <w:tr>
        <w:trPr>
          <w:trHeight w:val="508" w:hRule="atLeast"/>
        </w:trPr>
        <w:tc>
          <w:tcPr>
            <w:tcW w:w="2622" w:type="dxa"/>
            <w:gridSpan w:val="3"/>
            <w:vMerge w:val="restart"/>
          </w:tcPr>
          <w:p>
            <w:pPr>
              <w:pStyle w:val="TableParagraph"/>
              <w:spacing w:line="220" w:lineRule="exact"/>
              <w:ind w:left="110"/>
              <w:rPr>
                <w:sz w:val="22"/>
              </w:rPr>
            </w:pPr>
            <w:r>
              <w:rPr>
                <w:sz w:val="22"/>
              </w:rPr>
              <w:t>Conducători</w:t>
            </w:r>
            <w:r>
              <w:rPr>
                <w:spacing w:val="-6"/>
                <w:sz w:val="22"/>
              </w:rPr>
              <w:t> </w:t>
            </w:r>
            <w:r>
              <w:rPr>
                <w:sz w:val="22"/>
              </w:rPr>
              <w:t>de</w:t>
            </w:r>
            <w:r>
              <w:rPr>
                <w:spacing w:val="-3"/>
                <w:sz w:val="22"/>
              </w:rPr>
              <w:t> </w:t>
            </w:r>
            <w:r>
              <w:rPr>
                <w:spacing w:val="-2"/>
                <w:sz w:val="22"/>
              </w:rPr>
              <w:t>doctorat</w:t>
            </w:r>
          </w:p>
        </w:tc>
        <w:tc>
          <w:tcPr>
            <w:tcW w:w="134" w:type="dxa"/>
            <w:tcBorders>
              <w:bottom w:val="nil"/>
            </w:tcBorders>
          </w:tcPr>
          <w:p>
            <w:pPr>
              <w:pStyle w:val="TableParagraph"/>
              <w:ind w:left="0"/>
              <w:rPr>
                <w:sz w:val="22"/>
              </w:rPr>
            </w:pPr>
          </w:p>
        </w:tc>
        <w:tc>
          <w:tcPr>
            <w:tcW w:w="7844" w:type="dxa"/>
            <w:gridSpan w:val="4"/>
            <w:tcBorders>
              <w:top w:val="single" w:sz="8" w:space="0" w:color="000000"/>
            </w:tcBorders>
          </w:tcPr>
          <w:p>
            <w:pPr>
              <w:pStyle w:val="TableParagraph"/>
              <w:spacing w:line="249" w:lineRule="exact"/>
              <w:ind w:left="110"/>
              <w:rPr>
                <w:sz w:val="22"/>
              </w:rPr>
            </w:pPr>
            <w:r>
              <w:rPr>
                <w:sz w:val="22"/>
              </w:rPr>
              <w:t>Teosa</w:t>
            </w:r>
            <w:r>
              <w:rPr>
                <w:spacing w:val="-6"/>
                <w:sz w:val="22"/>
              </w:rPr>
              <w:t> </w:t>
            </w:r>
            <w:r>
              <w:rPr>
                <w:sz w:val="22"/>
              </w:rPr>
              <w:t>Valentina,</w:t>
            </w:r>
            <w:r>
              <w:rPr>
                <w:spacing w:val="-4"/>
                <w:sz w:val="22"/>
              </w:rPr>
              <w:t> </w:t>
            </w:r>
            <w:r>
              <w:rPr>
                <w:sz w:val="22"/>
              </w:rPr>
              <w:t>doctor</w:t>
            </w:r>
            <w:r>
              <w:rPr>
                <w:spacing w:val="-4"/>
                <w:sz w:val="22"/>
              </w:rPr>
              <w:t> </w:t>
            </w:r>
            <w:r>
              <w:rPr>
                <w:sz w:val="22"/>
              </w:rPr>
              <w:t>habilitat</w:t>
            </w:r>
            <w:r>
              <w:rPr>
                <w:spacing w:val="-5"/>
                <w:sz w:val="22"/>
              </w:rPr>
              <w:t> </w:t>
            </w:r>
            <w:r>
              <w:rPr>
                <w:sz w:val="22"/>
              </w:rPr>
              <w:t>in</w:t>
            </w:r>
            <w:r>
              <w:rPr>
                <w:spacing w:val="-10"/>
                <w:sz w:val="22"/>
              </w:rPr>
              <w:t> </w:t>
            </w:r>
            <w:r>
              <w:rPr>
                <w:sz w:val="22"/>
              </w:rPr>
              <w:t>științe</w:t>
            </w:r>
            <w:r>
              <w:rPr>
                <w:spacing w:val="-12"/>
                <w:sz w:val="22"/>
              </w:rPr>
              <w:t> </w:t>
            </w:r>
            <w:r>
              <w:rPr>
                <w:sz w:val="22"/>
              </w:rPr>
              <w:t>politice,</w:t>
            </w:r>
            <w:r>
              <w:rPr>
                <w:spacing w:val="-4"/>
                <w:sz w:val="22"/>
              </w:rPr>
              <w:t> </w:t>
            </w:r>
            <w:r>
              <w:rPr>
                <w:sz w:val="22"/>
              </w:rPr>
              <w:t>profesor</w:t>
            </w:r>
            <w:r>
              <w:rPr>
                <w:spacing w:val="-4"/>
                <w:sz w:val="22"/>
              </w:rPr>
              <w:t> </w:t>
            </w:r>
            <w:r>
              <w:rPr>
                <w:sz w:val="22"/>
              </w:rPr>
              <w:t>universitar</w:t>
            </w:r>
            <w:r>
              <w:rPr>
                <w:spacing w:val="-3"/>
                <w:sz w:val="22"/>
              </w:rPr>
              <w:t> </w:t>
            </w:r>
            <w:r>
              <w:rPr>
                <w:sz w:val="22"/>
              </w:rPr>
              <w:t>în</w:t>
            </w:r>
            <w:r>
              <w:rPr>
                <w:spacing w:val="-10"/>
                <w:sz w:val="22"/>
              </w:rPr>
              <w:t> </w:t>
            </w:r>
            <w:r>
              <w:rPr>
                <w:spacing w:val="-2"/>
                <w:sz w:val="22"/>
              </w:rPr>
              <w:t>relații</w:t>
            </w:r>
          </w:p>
          <w:p>
            <w:pPr>
              <w:pStyle w:val="TableParagraph"/>
              <w:spacing w:line="238" w:lineRule="exact" w:before="1"/>
              <w:ind w:left="110"/>
              <w:rPr>
                <w:sz w:val="22"/>
              </w:rPr>
            </w:pPr>
            <w:r>
              <w:rPr>
                <w:spacing w:val="-2"/>
                <w:sz w:val="22"/>
              </w:rPr>
              <w:t>internaționale</w:t>
            </w:r>
          </w:p>
        </w:tc>
        <w:tc>
          <w:tcPr>
            <w:tcW w:w="134" w:type="dxa"/>
          </w:tcPr>
          <w:p>
            <w:pPr>
              <w:pStyle w:val="TableParagraph"/>
              <w:ind w:left="0"/>
              <w:rPr>
                <w:sz w:val="22"/>
              </w:rPr>
            </w:pPr>
          </w:p>
        </w:tc>
      </w:tr>
      <w:tr>
        <w:trPr>
          <w:trHeight w:val="249" w:hRule="atLeast"/>
        </w:trPr>
        <w:tc>
          <w:tcPr>
            <w:tcW w:w="2622" w:type="dxa"/>
            <w:gridSpan w:val="3"/>
            <w:vMerge/>
            <w:tcBorders>
              <w:top w:val="nil"/>
            </w:tcBorders>
          </w:tcPr>
          <w:p>
            <w:pPr>
              <w:rPr>
                <w:sz w:val="2"/>
                <w:szCs w:val="2"/>
              </w:rPr>
            </w:pPr>
          </w:p>
        </w:tc>
        <w:tc>
          <w:tcPr>
            <w:tcW w:w="7978" w:type="dxa"/>
            <w:gridSpan w:val="5"/>
          </w:tcPr>
          <w:p>
            <w:pPr>
              <w:pStyle w:val="TableParagraph"/>
              <w:spacing w:line="229" w:lineRule="exact"/>
              <w:ind w:left="109"/>
              <w:rPr>
                <w:sz w:val="22"/>
              </w:rPr>
            </w:pPr>
            <w:r>
              <w:rPr>
                <w:spacing w:val="-10"/>
                <w:sz w:val="22"/>
              </w:rPr>
              <w:t>.</w:t>
            </w:r>
          </w:p>
        </w:tc>
        <w:tc>
          <w:tcPr>
            <w:tcW w:w="134" w:type="dxa"/>
            <w:tcBorders>
              <w:bottom w:val="nil"/>
              <w:right w:val="nil"/>
            </w:tcBorders>
          </w:tcPr>
          <w:p>
            <w:pPr>
              <w:pStyle w:val="TableParagraph"/>
              <w:ind w:left="0"/>
              <w:rPr>
                <w:sz w:val="18"/>
              </w:rPr>
            </w:pPr>
          </w:p>
        </w:tc>
      </w:tr>
      <w:tr>
        <w:trPr>
          <w:trHeight w:val="355" w:hRule="atLeast"/>
        </w:trPr>
        <w:tc>
          <w:tcPr>
            <w:tcW w:w="10600" w:type="dxa"/>
            <w:gridSpan w:val="8"/>
          </w:tcPr>
          <w:p>
            <w:pPr>
              <w:pStyle w:val="TableParagraph"/>
              <w:spacing w:before="1"/>
              <w:ind w:left="254"/>
              <w:rPr>
                <w:b/>
                <w:sz w:val="22"/>
              </w:rPr>
            </w:pPr>
            <w:r>
              <w:rPr>
                <w:b/>
                <w:sz w:val="22"/>
              </w:rPr>
              <w:t>Ciclul</w:t>
            </w:r>
            <w:r>
              <w:rPr>
                <w:b/>
                <w:spacing w:val="-5"/>
                <w:sz w:val="22"/>
              </w:rPr>
              <w:t> </w:t>
            </w:r>
            <w:r>
              <w:rPr>
                <w:b/>
                <w:sz w:val="22"/>
              </w:rPr>
              <w:t>III,</w:t>
            </w:r>
            <w:r>
              <w:rPr>
                <w:b/>
                <w:spacing w:val="-3"/>
                <w:sz w:val="22"/>
              </w:rPr>
              <w:t> </w:t>
            </w:r>
            <w:r>
              <w:rPr>
                <w:b/>
                <w:spacing w:val="-2"/>
                <w:sz w:val="22"/>
              </w:rPr>
              <w:t>Doctorat</w:t>
            </w:r>
          </w:p>
        </w:tc>
        <w:tc>
          <w:tcPr>
            <w:tcW w:w="134" w:type="dxa"/>
            <w:tcBorders>
              <w:top w:val="nil"/>
              <w:bottom w:val="nil"/>
              <w:right w:val="nil"/>
            </w:tcBorders>
          </w:tcPr>
          <w:p>
            <w:pPr>
              <w:pStyle w:val="TableParagraph"/>
              <w:ind w:left="0"/>
              <w:rPr>
                <w:sz w:val="22"/>
              </w:rPr>
            </w:pPr>
          </w:p>
        </w:tc>
      </w:tr>
      <w:tr>
        <w:trPr>
          <w:trHeight w:val="445" w:hRule="atLeast"/>
        </w:trPr>
        <w:tc>
          <w:tcPr>
            <w:tcW w:w="7086" w:type="dxa"/>
            <w:gridSpan w:val="6"/>
          </w:tcPr>
          <w:p>
            <w:pPr>
              <w:pStyle w:val="TableParagraph"/>
              <w:spacing w:line="220" w:lineRule="exact"/>
              <w:ind w:left="3024" w:right="3005"/>
              <w:jc w:val="center"/>
              <w:rPr>
                <w:sz w:val="22"/>
              </w:rPr>
            </w:pPr>
            <w:r>
              <w:rPr>
                <w:sz w:val="22"/>
              </w:rPr>
              <w:t>Numărul</w:t>
            </w:r>
            <w:r>
              <w:rPr>
                <w:spacing w:val="-14"/>
                <w:sz w:val="22"/>
              </w:rPr>
              <w:t> </w:t>
            </w:r>
            <w:r>
              <w:rPr>
                <w:sz w:val="22"/>
              </w:rPr>
              <w:t>de </w:t>
            </w:r>
            <w:r>
              <w:rPr>
                <w:spacing w:val="-4"/>
                <w:sz w:val="22"/>
              </w:rPr>
              <w:t>ore</w:t>
            </w:r>
          </w:p>
        </w:tc>
        <w:tc>
          <w:tcPr>
            <w:tcW w:w="1354" w:type="dxa"/>
            <w:vMerge w:val="restart"/>
          </w:tcPr>
          <w:p>
            <w:pPr>
              <w:pStyle w:val="TableParagraph"/>
              <w:spacing w:before="130"/>
              <w:ind w:left="164"/>
              <w:rPr>
                <w:sz w:val="22"/>
              </w:rPr>
            </w:pPr>
            <w:r>
              <w:rPr>
                <w:sz w:val="22"/>
              </w:rPr>
              <w:t>Nr</w:t>
            </w:r>
            <w:r>
              <w:rPr>
                <w:spacing w:val="-1"/>
                <w:sz w:val="22"/>
              </w:rPr>
              <w:t> </w:t>
            </w:r>
            <w:r>
              <w:rPr>
                <w:sz w:val="22"/>
              </w:rPr>
              <w:t>de</w:t>
            </w:r>
            <w:r>
              <w:rPr>
                <w:spacing w:val="-8"/>
                <w:sz w:val="22"/>
              </w:rPr>
              <w:t> </w:t>
            </w:r>
            <w:r>
              <w:rPr>
                <w:spacing w:val="-2"/>
                <w:sz w:val="22"/>
              </w:rPr>
              <w:t>credite</w:t>
            </w:r>
          </w:p>
        </w:tc>
        <w:tc>
          <w:tcPr>
            <w:tcW w:w="2160" w:type="dxa"/>
            <w:vMerge w:val="restart"/>
          </w:tcPr>
          <w:p>
            <w:pPr>
              <w:pStyle w:val="TableParagraph"/>
              <w:spacing w:line="230" w:lineRule="exact"/>
              <w:ind w:left="327"/>
              <w:rPr>
                <w:sz w:val="22"/>
              </w:rPr>
            </w:pPr>
            <w:r>
              <w:rPr>
                <w:sz w:val="22"/>
              </w:rPr>
              <w:t>Forma</w:t>
            </w:r>
            <w:r>
              <w:rPr>
                <w:spacing w:val="-4"/>
                <w:sz w:val="22"/>
              </w:rPr>
              <w:t> </w:t>
            </w:r>
            <w:r>
              <w:rPr>
                <w:sz w:val="22"/>
              </w:rPr>
              <w:t>de</w:t>
            </w:r>
            <w:r>
              <w:rPr>
                <w:spacing w:val="-4"/>
                <w:sz w:val="22"/>
              </w:rPr>
              <w:t> </w:t>
            </w:r>
            <w:r>
              <w:rPr>
                <w:spacing w:val="-2"/>
                <w:sz w:val="22"/>
              </w:rPr>
              <w:t>evaluare</w:t>
            </w:r>
          </w:p>
        </w:tc>
        <w:tc>
          <w:tcPr>
            <w:tcW w:w="134" w:type="dxa"/>
            <w:vMerge w:val="restart"/>
            <w:tcBorders>
              <w:top w:val="nil"/>
              <w:bottom w:val="nil"/>
              <w:right w:val="nil"/>
            </w:tcBorders>
          </w:tcPr>
          <w:p>
            <w:pPr>
              <w:pStyle w:val="TableParagraph"/>
              <w:ind w:left="0"/>
              <w:rPr>
                <w:sz w:val="22"/>
              </w:rPr>
            </w:pPr>
          </w:p>
        </w:tc>
      </w:tr>
      <w:tr>
        <w:trPr>
          <w:trHeight w:val="450" w:hRule="atLeast"/>
        </w:trPr>
        <w:tc>
          <w:tcPr>
            <w:tcW w:w="1868" w:type="dxa"/>
            <w:gridSpan w:val="2"/>
          </w:tcPr>
          <w:p>
            <w:pPr>
              <w:pStyle w:val="TableParagraph"/>
              <w:spacing w:line="226" w:lineRule="exact"/>
              <w:ind w:left="734" w:right="717"/>
              <w:jc w:val="center"/>
              <w:rPr>
                <w:sz w:val="22"/>
              </w:rPr>
            </w:pPr>
            <w:r>
              <w:rPr>
                <w:spacing w:val="-4"/>
                <w:sz w:val="22"/>
              </w:rPr>
              <w:t>Tota </w:t>
            </w:r>
            <w:r>
              <w:rPr>
                <w:spacing w:val="-10"/>
                <w:sz w:val="22"/>
              </w:rPr>
              <w:t>l</w:t>
            </w:r>
          </w:p>
        </w:tc>
        <w:tc>
          <w:tcPr>
            <w:tcW w:w="2789" w:type="dxa"/>
            <w:gridSpan w:val="3"/>
          </w:tcPr>
          <w:p>
            <w:pPr>
              <w:pStyle w:val="TableParagraph"/>
              <w:spacing w:line="230" w:lineRule="exact"/>
              <w:ind w:left="782"/>
              <w:rPr>
                <w:sz w:val="22"/>
              </w:rPr>
            </w:pPr>
            <w:r>
              <w:rPr>
                <w:sz w:val="22"/>
              </w:rPr>
              <w:t>Contact</w:t>
            </w:r>
            <w:r>
              <w:rPr>
                <w:spacing w:val="-8"/>
                <w:sz w:val="22"/>
              </w:rPr>
              <w:t> </w:t>
            </w:r>
            <w:r>
              <w:rPr>
                <w:spacing w:val="-2"/>
                <w:sz w:val="22"/>
              </w:rPr>
              <w:t>direct</w:t>
            </w:r>
          </w:p>
        </w:tc>
        <w:tc>
          <w:tcPr>
            <w:tcW w:w="2429" w:type="dxa"/>
          </w:tcPr>
          <w:p>
            <w:pPr>
              <w:pStyle w:val="TableParagraph"/>
              <w:spacing w:line="226" w:lineRule="exact"/>
              <w:ind w:left="768" w:right="757" w:firstLine="153"/>
              <w:rPr>
                <w:sz w:val="22"/>
              </w:rPr>
            </w:pPr>
            <w:r>
              <w:rPr>
                <w:spacing w:val="-2"/>
                <w:sz w:val="22"/>
              </w:rPr>
              <w:t>Lucrul individual</w:t>
            </w:r>
          </w:p>
        </w:tc>
        <w:tc>
          <w:tcPr>
            <w:tcW w:w="1354" w:type="dxa"/>
            <w:vMerge/>
            <w:tcBorders>
              <w:top w:val="nil"/>
            </w:tcBorders>
          </w:tcPr>
          <w:p>
            <w:pPr>
              <w:rPr>
                <w:sz w:val="2"/>
                <w:szCs w:val="2"/>
              </w:rPr>
            </w:pPr>
          </w:p>
        </w:tc>
        <w:tc>
          <w:tcPr>
            <w:tcW w:w="2160" w:type="dxa"/>
            <w:vMerge/>
            <w:tcBorders>
              <w:top w:val="nil"/>
            </w:tcBorders>
          </w:tcPr>
          <w:p>
            <w:pPr>
              <w:rPr>
                <w:sz w:val="2"/>
                <w:szCs w:val="2"/>
              </w:rPr>
            </w:pPr>
          </w:p>
        </w:tc>
        <w:tc>
          <w:tcPr>
            <w:tcW w:w="134" w:type="dxa"/>
            <w:vMerge/>
            <w:tcBorders>
              <w:top w:val="nil"/>
              <w:bottom w:val="nil"/>
              <w:right w:val="nil"/>
            </w:tcBorders>
          </w:tcPr>
          <w:p>
            <w:pPr>
              <w:rPr>
                <w:sz w:val="2"/>
                <w:szCs w:val="2"/>
              </w:rPr>
            </w:pPr>
          </w:p>
        </w:tc>
      </w:tr>
      <w:tr>
        <w:trPr>
          <w:trHeight w:val="449" w:hRule="atLeast"/>
        </w:trPr>
        <w:tc>
          <w:tcPr>
            <w:tcW w:w="1868" w:type="dxa"/>
            <w:gridSpan w:val="2"/>
          </w:tcPr>
          <w:p>
            <w:pPr>
              <w:pStyle w:val="TableParagraph"/>
              <w:spacing w:line="229" w:lineRule="exact"/>
              <w:ind w:left="18"/>
              <w:jc w:val="center"/>
              <w:rPr>
                <w:sz w:val="22"/>
              </w:rPr>
            </w:pPr>
            <w:r>
              <w:rPr>
                <w:spacing w:val="-5"/>
                <w:sz w:val="22"/>
              </w:rPr>
              <w:t>180</w:t>
            </w:r>
          </w:p>
        </w:tc>
        <w:tc>
          <w:tcPr>
            <w:tcW w:w="2789" w:type="dxa"/>
            <w:gridSpan w:val="3"/>
          </w:tcPr>
          <w:p>
            <w:pPr>
              <w:pStyle w:val="TableParagraph"/>
              <w:spacing w:line="229" w:lineRule="exact"/>
              <w:ind w:left="24"/>
              <w:jc w:val="center"/>
              <w:rPr>
                <w:sz w:val="22"/>
              </w:rPr>
            </w:pPr>
            <w:r>
              <w:rPr>
                <w:spacing w:val="-5"/>
                <w:sz w:val="22"/>
              </w:rPr>
              <w:t>10</w:t>
            </w:r>
          </w:p>
        </w:tc>
        <w:tc>
          <w:tcPr>
            <w:tcW w:w="2429" w:type="dxa"/>
          </w:tcPr>
          <w:p>
            <w:pPr>
              <w:pStyle w:val="TableParagraph"/>
              <w:spacing w:line="229" w:lineRule="exact"/>
              <w:ind w:left="25"/>
              <w:jc w:val="center"/>
              <w:rPr>
                <w:sz w:val="22"/>
              </w:rPr>
            </w:pPr>
            <w:r>
              <w:rPr>
                <w:spacing w:val="-5"/>
                <w:sz w:val="22"/>
              </w:rPr>
              <w:t>170</w:t>
            </w:r>
          </w:p>
        </w:tc>
        <w:tc>
          <w:tcPr>
            <w:tcW w:w="1354" w:type="dxa"/>
          </w:tcPr>
          <w:p>
            <w:pPr>
              <w:pStyle w:val="TableParagraph"/>
              <w:spacing w:line="229" w:lineRule="exact"/>
              <w:ind w:left="20"/>
              <w:jc w:val="center"/>
              <w:rPr>
                <w:sz w:val="22"/>
              </w:rPr>
            </w:pPr>
            <w:r>
              <w:rPr>
                <w:spacing w:val="-10"/>
                <w:sz w:val="22"/>
              </w:rPr>
              <w:t>6</w:t>
            </w:r>
          </w:p>
        </w:tc>
        <w:tc>
          <w:tcPr>
            <w:tcW w:w="2160" w:type="dxa"/>
          </w:tcPr>
          <w:p>
            <w:pPr>
              <w:pStyle w:val="TableParagraph"/>
              <w:spacing w:line="226" w:lineRule="exact"/>
              <w:ind w:left="745" w:right="743"/>
              <w:jc w:val="center"/>
              <w:rPr>
                <w:sz w:val="22"/>
              </w:rPr>
            </w:pPr>
            <w:r>
              <w:rPr>
                <w:spacing w:val="-2"/>
                <w:sz w:val="22"/>
              </w:rPr>
              <w:t>Exame </w:t>
            </w:r>
            <w:r>
              <w:rPr>
                <w:spacing w:val="-10"/>
                <w:sz w:val="22"/>
              </w:rPr>
              <w:t>n</w:t>
            </w:r>
          </w:p>
        </w:tc>
        <w:tc>
          <w:tcPr>
            <w:tcW w:w="134" w:type="dxa"/>
            <w:tcBorders>
              <w:top w:val="nil"/>
              <w:bottom w:val="nil"/>
              <w:right w:val="nil"/>
            </w:tcBorders>
          </w:tcPr>
          <w:p>
            <w:pPr>
              <w:pStyle w:val="TableParagraph"/>
              <w:ind w:left="0"/>
              <w:rPr>
                <w:sz w:val="22"/>
              </w:rPr>
            </w:pPr>
          </w:p>
        </w:tc>
      </w:tr>
      <w:tr>
        <w:trPr>
          <w:trHeight w:val="3493" w:hRule="atLeast"/>
        </w:trPr>
        <w:tc>
          <w:tcPr>
            <w:tcW w:w="1085" w:type="dxa"/>
          </w:tcPr>
          <w:p>
            <w:pPr>
              <w:pStyle w:val="TableParagraph"/>
              <w:spacing w:line="280" w:lineRule="auto"/>
              <w:ind w:left="110" w:right="279"/>
              <w:jc w:val="both"/>
              <w:rPr>
                <w:b/>
                <w:sz w:val="22"/>
              </w:rPr>
            </w:pPr>
            <w:r>
              <w:rPr>
                <w:b/>
                <w:spacing w:val="-2"/>
                <w:sz w:val="22"/>
              </w:rPr>
              <w:t>Funda-mentar </w:t>
            </w:r>
            <w:r>
              <w:rPr>
                <w:b/>
                <w:spacing w:val="-10"/>
                <w:sz w:val="22"/>
              </w:rPr>
              <w:t>e</w:t>
            </w:r>
          </w:p>
        </w:tc>
        <w:tc>
          <w:tcPr>
            <w:tcW w:w="9515" w:type="dxa"/>
            <w:gridSpan w:val="7"/>
          </w:tcPr>
          <w:p>
            <w:pPr>
              <w:pStyle w:val="TableParagraph"/>
              <w:spacing w:before="33"/>
              <w:ind w:left="0"/>
              <w:rPr>
                <w:b/>
                <w:sz w:val="22"/>
              </w:rPr>
            </w:pPr>
          </w:p>
          <w:p>
            <w:pPr>
              <w:pStyle w:val="TableParagraph"/>
              <w:spacing w:line="276" w:lineRule="auto" w:before="1"/>
              <w:ind w:right="213"/>
              <w:jc w:val="both"/>
              <w:rPr>
                <w:sz w:val="22"/>
              </w:rPr>
            </w:pPr>
            <w:r>
              <w:rPr>
                <w:sz w:val="22"/>
              </w:rPr>
              <w:t>Scopul disciplinii</w:t>
            </w:r>
            <w:r>
              <w:rPr>
                <w:spacing w:val="-1"/>
                <w:sz w:val="22"/>
              </w:rPr>
              <w:t> </w:t>
            </w:r>
            <w:r>
              <w:rPr>
                <w:sz w:val="22"/>
              </w:rPr>
              <w:t>constă în</w:t>
            </w:r>
            <w:r>
              <w:rPr>
                <w:spacing w:val="-2"/>
                <w:sz w:val="22"/>
              </w:rPr>
              <w:t> </w:t>
            </w:r>
            <w:r>
              <w:rPr>
                <w:sz w:val="22"/>
              </w:rPr>
              <w:t>formarea unei</w:t>
            </w:r>
            <w:r>
              <w:rPr>
                <w:spacing w:val="-1"/>
                <w:sz w:val="22"/>
              </w:rPr>
              <w:t> </w:t>
            </w:r>
            <w:r>
              <w:rPr>
                <w:sz w:val="22"/>
              </w:rPr>
              <w:t>viziuni</w:t>
            </w:r>
            <w:r>
              <w:rPr>
                <w:spacing w:val="-1"/>
                <w:sz w:val="22"/>
              </w:rPr>
              <w:t> </w:t>
            </w:r>
            <w:r>
              <w:rPr>
                <w:sz w:val="22"/>
              </w:rPr>
              <w:t>de</w:t>
            </w:r>
            <w:r>
              <w:rPr>
                <w:spacing w:val="-4"/>
                <w:sz w:val="22"/>
              </w:rPr>
              <w:t> </w:t>
            </w:r>
            <w:r>
              <w:rPr>
                <w:sz w:val="22"/>
              </w:rPr>
              <w:t>ansamblu asupra cercetării politologice în</w:t>
            </w:r>
            <w:r>
              <w:rPr>
                <w:spacing w:val="-2"/>
                <w:sz w:val="22"/>
              </w:rPr>
              <w:t> </w:t>
            </w:r>
            <w:r>
              <w:rPr>
                <w:sz w:val="22"/>
              </w:rPr>
              <w:t>domeniul relațiilor internaționale privind problemele și strategiile ale dezvoltării globale și regionale. Studenții-doctoranzi vor fi familiarizați cu cerințele, principiile, metodele și tehnicile moderne de cercetarea politologică</w:t>
            </w:r>
            <w:r>
              <w:rPr>
                <w:spacing w:val="-14"/>
                <w:sz w:val="22"/>
              </w:rPr>
              <w:t> </w:t>
            </w:r>
            <w:r>
              <w:rPr>
                <w:sz w:val="22"/>
              </w:rPr>
              <w:t>și</w:t>
            </w:r>
            <w:r>
              <w:rPr>
                <w:spacing w:val="-14"/>
                <w:sz w:val="22"/>
              </w:rPr>
              <w:t> </w:t>
            </w:r>
            <w:r>
              <w:rPr>
                <w:sz w:val="22"/>
              </w:rPr>
              <w:t>interdisciplinară</w:t>
            </w:r>
            <w:r>
              <w:rPr>
                <w:spacing w:val="-11"/>
                <w:sz w:val="22"/>
              </w:rPr>
              <w:t> </w:t>
            </w:r>
            <w:r>
              <w:rPr>
                <w:sz w:val="22"/>
              </w:rPr>
              <w:t>în</w:t>
            </w:r>
            <w:r>
              <w:rPr>
                <w:spacing w:val="-13"/>
                <w:sz w:val="22"/>
              </w:rPr>
              <w:t> </w:t>
            </w:r>
            <w:r>
              <w:rPr>
                <w:sz w:val="22"/>
              </w:rPr>
              <w:t>domeniul</w:t>
            </w:r>
            <w:r>
              <w:rPr>
                <w:spacing w:val="-14"/>
                <w:sz w:val="22"/>
              </w:rPr>
              <w:t> </w:t>
            </w:r>
            <w:r>
              <w:rPr>
                <w:sz w:val="22"/>
              </w:rPr>
              <w:t>relațiilor</w:t>
            </w:r>
            <w:r>
              <w:rPr>
                <w:spacing w:val="-9"/>
                <w:sz w:val="22"/>
              </w:rPr>
              <w:t> </w:t>
            </w:r>
            <w:r>
              <w:rPr>
                <w:sz w:val="22"/>
              </w:rPr>
              <w:t>internaționale</w:t>
            </w:r>
            <w:r>
              <w:rPr>
                <w:spacing w:val="-14"/>
                <w:sz w:val="22"/>
              </w:rPr>
              <w:t> </w:t>
            </w:r>
            <w:r>
              <w:rPr>
                <w:sz w:val="22"/>
              </w:rPr>
              <w:t>în</w:t>
            </w:r>
            <w:r>
              <w:rPr>
                <w:spacing w:val="-14"/>
                <w:sz w:val="22"/>
              </w:rPr>
              <w:t> </w:t>
            </w:r>
            <w:r>
              <w:rPr>
                <w:sz w:val="22"/>
              </w:rPr>
              <w:t>perioada</w:t>
            </w:r>
            <w:r>
              <w:rPr>
                <w:spacing w:val="-9"/>
                <w:sz w:val="22"/>
              </w:rPr>
              <w:t> </w:t>
            </w:r>
            <w:r>
              <w:rPr>
                <w:sz w:val="22"/>
              </w:rPr>
              <w:t>de</w:t>
            </w:r>
            <w:r>
              <w:rPr>
                <w:spacing w:val="-14"/>
                <w:sz w:val="22"/>
              </w:rPr>
              <w:t> </w:t>
            </w:r>
            <w:r>
              <w:rPr>
                <w:sz w:val="22"/>
              </w:rPr>
              <w:t>lucru</w:t>
            </w:r>
            <w:r>
              <w:rPr>
                <w:spacing w:val="-12"/>
                <w:sz w:val="22"/>
              </w:rPr>
              <w:t> </w:t>
            </w:r>
            <w:r>
              <w:rPr>
                <w:sz w:val="22"/>
              </w:rPr>
              <w:t>la</w:t>
            </w:r>
            <w:r>
              <w:rPr>
                <w:spacing w:val="-10"/>
                <w:sz w:val="22"/>
              </w:rPr>
              <w:t> </w:t>
            </w:r>
            <w:r>
              <w:rPr>
                <w:sz w:val="22"/>
              </w:rPr>
              <w:t>teza.</w:t>
            </w:r>
            <w:r>
              <w:rPr>
                <w:spacing w:val="-14"/>
                <w:sz w:val="22"/>
              </w:rPr>
              <w:t> </w:t>
            </w:r>
            <w:r>
              <w:rPr>
                <w:sz w:val="22"/>
              </w:rPr>
              <w:t>Cercetarea științifică are esența, structura, componentele, principiile, logica internă, metodologia, metodele și tehnicile ei. În plus, procesul de cercetare științifică necesită cunoașterea elementelor de bază ale planificării și organizării implementării acesteia. Toate</w:t>
            </w:r>
            <w:r>
              <w:rPr>
                <w:spacing w:val="-3"/>
                <w:sz w:val="22"/>
              </w:rPr>
              <w:t> </w:t>
            </w:r>
            <w:r>
              <w:rPr>
                <w:sz w:val="22"/>
              </w:rPr>
              <w:t>acestea sunt obiect de</w:t>
            </w:r>
            <w:r>
              <w:rPr>
                <w:spacing w:val="-3"/>
                <w:sz w:val="22"/>
              </w:rPr>
              <w:t> </w:t>
            </w:r>
            <w:r>
              <w:rPr>
                <w:sz w:val="22"/>
              </w:rPr>
              <w:t>studiu, au valoare</w:t>
            </w:r>
            <w:r>
              <w:rPr>
                <w:spacing w:val="-3"/>
                <w:sz w:val="22"/>
              </w:rPr>
              <w:t> </w:t>
            </w:r>
            <w:r>
              <w:rPr>
                <w:sz w:val="22"/>
              </w:rPr>
              <w:t>teoretică și practică pentru studenți, atât în procesul de elaborare și redactare a unei teze la nivelul științific corespunzător, cât și în planul strategic - formarea unui specialist în domeniul analiticii relațiilor internaționale și a dezvoltării globale și regionale la etapa contemporană.</w:t>
            </w:r>
          </w:p>
        </w:tc>
        <w:tc>
          <w:tcPr>
            <w:tcW w:w="134" w:type="dxa"/>
            <w:tcBorders>
              <w:top w:val="nil"/>
              <w:bottom w:val="nil"/>
              <w:right w:val="nil"/>
            </w:tcBorders>
          </w:tcPr>
          <w:p>
            <w:pPr>
              <w:pStyle w:val="TableParagraph"/>
              <w:ind w:left="0"/>
              <w:rPr>
                <w:sz w:val="22"/>
              </w:rPr>
            </w:pPr>
          </w:p>
        </w:tc>
      </w:tr>
      <w:tr>
        <w:trPr>
          <w:trHeight w:val="2035" w:hRule="atLeast"/>
        </w:trPr>
        <w:tc>
          <w:tcPr>
            <w:tcW w:w="1085" w:type="dxa"/>
          </w:tcPr>
          <w:p>
            <w:pPr>
              <w:pStyle w:val="TableParagraph"/>
              <w:spacing w:before="1"/>
              <w:ind w:left="110"/>
              <w:rPr>
                <w:b/>
                <w:sz w:val="22"/>
              </w:rPr>
            </w:pPr>
            <w:r>
              <w:rPr>
                <w:b/>
                <w:spacing w:val="-2"/>
                <w:sz w:val="22"/>
              </w:rPr>
              <w:t>Compe</w:t>
            </w:r>
          </w:p>
          <w:p>
            <w:pPr>
              <w:pStyle w:val="TableParagraph"/>
              <w:spacing w:line="276" w:lineRule="auto" w:before="35"/>
              <w:ind w:left="110" w:right="260"/>
              <w:jc w:val="both"/>
              <w:rPr>
                <w:b/>
                <w:sz w:val="22"/>
              </w:rPr>
            </w:pPr>
            <w:r>
              <w:rPr>
                <w:b/>
                <w:spacing w:val="-2"/>
                <w:sz w:val="22"/>
              </w:rPr>
              <w:t>-</w:t>
            </w:r>
            <w:r>
              <w:rPr>
                <w:b/>
                <w:spacing w:val="-2"/>
                <w:sz w:val="22"/>
              </w:rPr>
              <w:t>tenţele obţinut </w:t>
            </w:r>
            <w:r>
              <w:rPr>
                <w:b/>
                <w:spacing w:val="-10"/>
                <w:sz w:val="22"/>
              </w:rPr>
              <w:t>e</w:t>
            </w:r>
          </w:p>
        </w:tc>
        <w:tc>
          <w:tcPr>
            <w:tcW w:w="9515" w:type="dxa"/>
            <w:gridSpan w:val="7"/>
          </w:tcPr>
          <w:p>
            <w:pPr>
              <w:pStyle w:val="TableParagraph"/>
              <w:spacing w:before="31"/>
              <w:ind w:left="0"/>
              <w:rPr>
                <w:b/>
                <w:sz w:val="22"/>
              </w:rPr>
            </w:pPr>
          </w:p>
          <w:p>
            <w:pPr>
              <w:pStyle w:val="TableParagraph"/>
              <w:spacing w:line="278" w:lineRule="auto"/>
              <w:rPr>
                <w:sz w:val="22"/>
              </w:rPr>
            </w:pPr>
            <w:r>
              <w:rPr>
                <w:sz w:val="22"/>
              </w:rPr>
              <w:t>CP 1. Cunoașterea metodologiei de</w:t>
            </w:r>
            <w:r>
              <w:rPr>
                <w:spacing w:val="-3"/>
                <w:sz w:val="22"/>
              </w:rPr>
              <w:t> </w:t>
            </w:r>
            <w:r>
              <w:rPr>
                <w:sz w:val="22"/>
              </w:rPr>
              <w:t>cercetare în domeniul științelor politice</w:t>
            </w:r>
            <w:r>
              <w:rPr>
                <w:spacing w:val="-1"/>
                <w:sz w:val="22"/>
              </w:rPr>
              <w:t> </w:t>
            </w:r>
            <w:r>
              <w:rPr>
                <w:sz w:val="22"/>
              </w:rPr>
              <w:t>ale</w:t>
            </w:r>
            <w:r>
              <w:rPr>
                <w:spacing w:val="-3"/>
                <w:sz w:val="22"/>
              </w:rPr>
              <w:t> </w:t>
            </w:r>
            <w:r>
              <w:rPr>
                <w:sz w:val="22"/>
              </w:rPr>
              <w:t>relațiilor internaționale</w:t>
            </w:r>
            <w:r>
              <w:rPr>
                <w:spacing w:val="-3"/>
                <w:sz w:val="22"/>
              </w:rPr>
              <w:t> </w:t>
            </w:r>
            <w:r>
              <w:rPr>
                <w:sz w:val="22"/>
              </w:rPr>
              <w:t>și dezvoltării globale și regionale.</w:t>
            </w:r>
          </w:p>
          <w:p>
            <w:pPr>
              <w:pStyle w:val="TableParagraph"/>
              <w:spacing w:line="278" w:lineRule="auto"/>
              <w:ind w:firstLine="58"/>
              <w:rPr>
                <w:sz w:val="22"/>
              </w:rPr>
            </w:pPr>
            <w:r>
              <w:rPr>
                <w:sz w:val="22"/>
              </w:rPr>
              <w:t>CP 2. Elaborarea demersurilor de cercetare în domeniul științelor politice ale relațiilor internaționale și dezvoltării globale și regionale.</w:t>
            </w:r>
          </w:p>
          <w:p>
            <w:pPr>
              <w:pStyle w:val="TableParagraph"/>
              <w:spacing w:line="252" w:lineRule="exact"/>
              <w:ind w:left="62"/>
              <w:rPr>
                <w:sz w:val="22"/>
              </w:rPr>
            </w:pPr>
            <w:r>
              <w:rPr>
                <w:sz w:val="22"/>
              </w:rPr>
              <w:t>CP.</w:t>
            </w:r>
            <w:r>
              <w:rPr>
                <w:spacing w:val="-10"/>
                <w:sz w:val="22"/>
              </w:rPr>
              <w:t> </w:t>
            </w:r>
            <w:r>
              <w:rPr>
                <w:sz w:val="22"/>
              </w:rPr>
              <w:t>3.</w:t>
            </w:r>
            <w:r>
              <w:rPr>
                <w:spacing w:val="-7"/>
                <w:sz w:val="22"/>
              </w:rPr>
              <w:t> </w:t>
            </w:r>
            <w:r>
              <w:rPr>
                <w:sz w:val="22"/>
              </w:rPr>
              <w:t>Selectarea</w:t>
            </w:r>
            <w:r>
              <w:rPr>
                <w:spacing w:val="-3"/>
                <w:sz w:val="22"/>
              </w:rPr>
              <w:t> </w:t>
            </w:r>
            <w:r>
              <w:rPr>
                <w:sz w:val="22"/>
              </w:rPr>
              <w:t>și</w:t>
            </w:r>
            <w:r>
              <w:rPr>
                <w:spacing w:val="-8"/>
                <w:sz w:val="22"/>
              </w:rPr>
              <w:t> </w:t>
            </w:r>
            <w:r>
              <w:rPr>
                <w:sz w:val="22"/>
              </w:rPr>
              <w:t>aplicarea</w:t>
            </w:r>
            <w:r>
              <w:rPr>
                <w:spacing w:val="-3"/>
                <w:sz w:val="22"/>
              </w:rPr>
              <w:t> </w:t>
            </w:r>
            <w:r>
              <w:rPr>
                <w:sz w:val="22"/>
              </w:rPr>
              <w:t>metodelor</w:t>
            </w:r>
            <w:r>
              <w:rPr>
                <w:spacing w:val="-2"/>
                <w:sz w:val="22"/>
              </w:rPr>
              <w:t> </w:t>
            </w:r>
            <w:r>
              <w:rPr>
                <w:sz w:val="22"/>
              </w:rPr>
              <w:t>relevante</w:t>
            </w:r>
            <w:r>
              <w:rPr>
                <w:spacing w:val="-12"/>
                <w:sz w:val="22"/>
              </w:rPr>
              <w:t> </w:t>
            </w:r>
            <w:r>
              <w:rPr>
                <w:sz w:val="22"/>
              </w:rPr>
              <w:t>problematicii</w:t>
            </w:r>
            <w:r>
              <w:rPr>
                <w:spacing w:val="-8"/>
                <w:sz w:val="22"/>
              </w:rPr>
              <w:t> </w:t>
            </w:r>
            <w:r>
              <w:rPr>
                <w:spacing w:val="-2"/>
                <w:sz w:val="22"/>
              </w:rPr>
              <w:t>cercetării.</w:t>
            </w:r>
          </w:p>
          <w:p>
            <w:pPr>
              <w:pStyle w:val="TableParagraph"/>
              <w:spacing w:before="29"/>
              <w:ind w:left="62"/>
              <w:rPr>
                <w:sz w:val="22"/>
              </w:rPr>
            </w:pPr>
            <w:r>
              <w:rPr>
                <w:sz w:val="22"/>
              </w:rPr>
              <w:t>CP.</w:t>
            </w:r>
            <w:r>
              <w:rPr>
                <w:spacing w:val="-8"/>
                <w:sz w:val="22"/>
              </w:rPr>
              <w:t> </w:t>
            </w:r>
            <w:r>
              <w:rPr>
                <w:sz w:val="22"/>
              </w:rPr>
              <w:t>4.</w:t>
            </w:r>
            <w:r>
              <w:rPr>
                <w:spacing w:val="-6"/>
                <w:sz w:val="22"/>
              </w:rPr>
              <w:t> </w:t>
            </w:r>
            <w:r>
              <w:rPr>
                <w:sz w:val="22"/>
              </w:rPr>
              <w:t>Analiza</w:t>
            </w:r>
            <w:r>
              <w:rPr>
                <w:spacing w:val="-1"/>
                <w:sz w:val="22"/>
              </w:rPr>
              <w:t> </w:t>
            </w:r>
            <w:r>
              <w:rPr>
                <w:sz w:val="22"/>
              </w:rPr>
              <w:t>și</w:t>
            </w:r>
            <w:r>
              <w:rPr>
                <w:spacing w:val="-7"/>
                <w:sz w:val="22"/>
              </w:rPr>
              <w:t> </w:t>
            </w:r>
            <w:r>
              <w:rPr>
                <w:sz w:val="22"/>
              </w:rPr>
              <w:t>interpretarea</w:t>
            </w:r>
            <w:r>
              <w:rPr>
                <w:spacing w:val="-4"/>
                <w:sz w:val="22"/>
              </w:rPr>
              <w:t> </w:t>
            </w:r>
            <w:r>
              <w:rPr>
                <w:sz w:val="22"/>
              </w:rPr>
              <w:t>rezultatelor</w:t>
            </w:r>
            <w:r>
              <w:rPr>
                <w:spacing w:val="-1"/>
                <w:sz w:val="22"/>
              </w:rPr>
              <w:t> </w:t>
            </w:r>
            <w:r>
              <w:rPr>
                <w:spacing w:val="-2"/>
                <w:sz w:val="22"/>
              </w:rPr>
              <w:t>cercetării.</w:t>
            </w:r>
          </w:p>
        </w:tc>
        <w:tc>
          <w:tcPr>
            <w:tcW w:w="134" w:type="dxa"/>
            <w:tcBorders>
              <w:top w:val="nil"/>
              <w:bottom w:val="nil"/>
              <w:right w:val="nil"/>
            </w:tcBorders>
          </w:tcPr>
          <w:p>
            <w:pPr>
              <w:pStyle w:val="TableParagraph"/>
              <w:ind w:left="0"/>
              <w:rPr>
                <w:sz w:val="22"/>
              </w:rPr>
            </w:pPr>
          </w:p>
        </w:tc>
      </w:tr>
      <w:tr>
        <w:trPr>
          <w:trHeight w:val="2237" w:hRule="atLeast"/>
        </w:trPr>
        <w:tc>
          <w:tcPr>
            <w:tcW w:w="1085" w:type="dxa"/>
          </w:tcPr>
          <w:p>
            <w:pPr>
              <w:pStyle w:val="TableParagraph"/>
              <w:spacing w:line="278" w:lineRule="auto" w:before="1"/>
              <w:ind w:left="110" w:right="168"/>
              <w:rPr>
                <w:b/>
                <w:sz w:val="22"/>
              </w:rPr>
            </w:pPr>
            <w:r>
              <w:rPr>
                <w:b/>
                <w:spacing w:val="-2"/>
                <w:sz w:val="22"/>
              </w:rPr>
              <w:t>Conţi-nutul disciplin </w:t>
            </w:r>
            <w:r>
              <w:rPr>
                <w:b/>
                <w:spacing w:val="-6"/>
                <w:sz w:val="22"/>
              </w:rPr>
              <w:t>ei</w:t>
            </w:r>
          </w:p>
        </w:tc>
        <w:tc>
          <w:tcPr>
            <w:tcW w:w="9515" w:type="dxa"/>
            <w:gridSpan w:val="7"/>
          </w:tcPr>
          <w:p>
            <w:pPr>
              <w:pStyle w:val="TableParagraph"/>
              <w:spacing w:before="35"/>
              <w:ind w:left="0"/>
              <w:rPr>
                <w:b/>
                <w:sz w:val="22"/>
              </w:rPr>
            </w:pPr>
          </w:p>
          <w:p>
            <w:pPr>
              <w:pStyle w:val="TableParagraph"/>
              <w:numPr>
                <w:ilvl w:val="0"/>
                <w:numId w:val="1"/>
              </w:numPr>
              <w:tabs>
                <w:tab w:pos="285" w:val="left" w:leader="none"/>
                <w:tab w:pos="441" w:val="left" w:leader="none"/>
              </w:tabs>
              <w:spacing w:line="273" w:lineRule="auto" w:before="1" w:after="0"/>
              <w:ind w:left="441" w:right="81" w:hanging="361"/>
              <w:jc w:val="left"/>
              <w:rPr>
                <w:sz w:val="22"/>
              </w:rPr>
            </w:pPr>
            <w:r>
              <w:rPr>
                <w:sz w:val="22"/>
              </w:rPr>
              <w:t>Paradigme</w:t>
            </w:r>
            <w:r>
              <w:rPr>
                <w:spacing w:val="77"/>
                <w:sz w:val="22"/>
              </w:rPr>
              <w:t> </w:t>
            </w:r>
            <w:r>
              <w:rPr>
                <w:sz w:val="22"/>
              </w:rPr>
              <w:t>contemporane</w:t>
            </w:r>
            <w:r>
              <w:rPr>
                <w:spacing w:val="77"/>
                <w:sz w:val="22"/>
              </w:rPr>
              <w:t> </w:t>
            </w:r>
            <w:r>
              <w:rPr>
                <w:sz w:val="22"/>
              </w:rPr>
              <w:t>ale</w:t>
            </w:r>
            <w:r>
              <w:rPr>
                <w:spacing w:val="77"/>
                <w:sz w:val="22"/>
              </w:rPr>
              <w:t> </w:t>
            </w:r>
            <w:r>
              <w:rPr>
                <w:sz w:val="22"/>
              </w:rPr>
              <w:t>cercetării</w:t>
            </w:r>
            <w:r>
              <w:rPr>
                <w:spacing w:val="80"/>
                <w:sz w:val="22"/>
              </w:rPr>
              <w:t> </w:t>
            </w:r>
            <w:r>
              <w:rPr>
                <w:sz w:val="22"/>
              </w:rPr>
              <w:t>în</w:t>
            </w:r>
            <w:r>
              <w:rPr>
                <w:spacing w:val="79"/>
                <w:sz w:val="22"/>
              </w:rPr>
              <w:t> </w:t>
            </w:r>
            <w:r>
              <w:rPr>
                <w:sz w:val="22"/>
              </w:rPr>
              <w:t>domeniul</w:t>
            </w:r>
            <w:r>
              <w:rPr>
                <w:spacing w:val="80"/>
                <w:sz w:val="22"/>
              </w:rPr>
              <w:t> </w:t>
            </w:r>
            <w:r>
              <w:rPr>
                <w:sz w:val="22"/>
              </w:rPr>
              <w:t>științelor</w:t>
            </w:r>
            <w:r>
              <w:rPr>
                <w:spacing w:val="80"/>
                <w:sz w:val="22"/>
              </w:rPr>
              <w:t> </w:t>
            </w:r>
            <w:r>
              <w:rPr>
                <w:sz w:val="22"/>
              </w:rPr>
              <w:t>politice</w:t>
            </w:r>
            <w:r>
              <w:rPr>
                <w:spacing w:val="77"/>
                <w:sz w:val="22"/>
              </w:rPr>
              <w:t> </w:t>
            </w:r>
            <w:r>
              <w:rPr>
                <w:sz w:val="22"/>
              </w:rPr>
              <w:t>și</w:t>
            </w:r>
            <w:r>
              <w:rPr>
                <w:spacing w:val="80"/>
                <w:sz w:val="22"/>
              </w:rPr>
              <w:t> </w:t>
            </w:r>
            <w:r>
              <w:rPr>
                <w:sz w:val="22"/>
              </w:rPr>
              <w:t>studiilor</w:t>
            </w:r>
            <w:r>
              <w:rPr>
                <w:spacing w:val="80"/>
                <w:sz w:val="22"/>
              </w:rPr>
              <w:t> </w:t>
            </w:r>
            <w:r>
              <w:rPr>
                <w:sz w:val="22"/>
              </w:rPr>
              <w:t>ale</w:t>
            </w:r>
            <w:r>
              <w:rPr>
                <w:spacing w:val="77"/>
                <w:sz w:val="22"/>
              </w:rPr>
              <w:t> </w:t>
            </w:r>
            <w:r>
              <w:rPr>
                <w:sz w:val="22"/>
              </w:rPr>
              <w:t>relațiilor internaționale și dezvoltării globale și regionale.</w:t>
            </w:r>
          </w:p>
          <w:p>
            <w:pPr>
              <w:pStyle w:val="TableParagraph"/>
              <w:numPr>
                <w:ilvl w:val="0"/>
                <w:numId w:val="1"/>
              </w:numPr>
              <w:tabs>
                <w:tab w:pos="286" w:val="left" w:leader="none"/>
              </w:tabs>
              <w:spacing w:line="240" w:lineRule="auto" w:before="4" w:after="0"/>
              <w:ind w:left="286" w:right="0" w:hanging="205"/>
              <w:jc w:val="left"/>
              <w:rPr>
                <w:sz w:val="22"/>
              </w:rPr>
            </w:pPr>
            <w:r>
              <w:rPr>
                <w:sz w:val="22"/>
              </w:rPr>
              <w:t>Etapele</w:t>
            </w:r>
            <w:r>
              <w:rPr>
                <w:spacing w:val="-10"/>
                <w:sz w:val="22"/>
              </w:rPr>
              <w:t> </w:t>
            </w:r>
            <w:r>
              <w:rPr>
                <w:sz w:val="22"/>
              </w:rPr>
              <w:t>procesului</w:t>
            </w:r>
            <w:r>
              <w:rPr>
                <w:spacing w:val="-5"/>
                <w:sz w:val="22"/>
              </w:rPr>
              <w:t> </w:t>
            </w:r>
            <w:r>
              <w:rPr>
                <w:sz w:val="22"/>
              </w:rPr>
              <w:t>de</w:t>
            </w:r>
            <w:r>
              <w:rPr>
                <w:spacing w:val="-8"/>
                <w:sz w:val="22"/>
              </w:rPr>
              <w:t> </w:t>
            </w:r>
            <w:r>
              <w:rPr>
                <w:sz w:val="22"/>
              </w:rPr>
              <w:t>cercetare</w:t>
            </w:r>
            <w:r>
              <w:rPr>
                <w:spacing w:val="-7"/>
                <w:sz w:val="22"/>
              </w:rPr>
              <w:t> </w:t>
            </w:r>
            <w:r>
              <w:rPr>
                <w:sz w:val="22"/>
              </w:rPr>
              <w:t>în</w:t>
            </w:r>
            <w:r>
              <w:rPr>
                <w:spacing w:val="-1"/>
                <w:sz w:val="22"/>
              </w:rPr>
              <w:t> </w:t>
            </w:r>
            <w:r>
              <w:rPr>
                <w:sz w:val="22"/>
              </w:rPr>
              <w:t>domeniul</w:t>
            </w:r>
            <w:r>
              <w:rPr>
                <w:spacing w:val="1"/>
                <w:sz w:val="22"/>
              </w:rPr>
              <w:t> </w:t>
            </w:r>
            <w:r>
              <w:rPr>
                <w:sz w:val="22"/>
              </w:rPr>
              <w:t>psihologiei </w:t>
            </w:r>
            <w:r>
              <w:rPr>
                <w:spacing w:val="-2"/>
                <w:sz w:val="22"/>
              </w:rPr>
              <w:t>generale.</w:t>
            </w:r>
          </w:p>
          <w:p>
            <w:pPr>
              <w:pStyle w:val="TableParagraph"/>
              <w:numPr>
                <w:ilvl w:val="0"/>
                <w:numId w:val="1"/>
              </w:numPr>
              <w:tabs>
                <w:tab w:pos="286" w:val="left" w:leader="none"/>
              </w:tabs>
              <w:spacing w:line="240" w:lineRule="auto" w:before="35" w:after="0"/>
              <w:ind w:left="286" w:right="0" w:hanging="205"/>
              <w:jc w:val="left"/>
              <w:rPr>
                <w:sz w:val="22"/>
              </w:rPr>
            </w:pPr>
            <w:r>
              <w:rPr>
                <w:sz w:val="22"/>
              </w:rPr>
              <w:t>Abordarea</w:t>
            </w:r>
            <w:r>
              <w:rPr>
                <w:spacing w:val="-4"/>
                <w:sz w:val="22"/>
              </w:rPr>
              <w:t> </w:t>
            </w:r>
            <w:r>
              <w:rPr>
                <w:sz w:val="22"/>
              </w:rPr>
              <w:t>problemei</w:t>
            </w:r>
            <w:r>
              <w:rPr>
                <w:spacing w:val="-3"/>
                <w:sz w:val="22"/>
              </w:rPr>
              <w:t> </w:t>
            </w:r>
            <w:r>
              <w:rPr>
                <w:sz w:val="22"/>
              </w:rPr>
              <w:t>de</w:t>
            </w:r>
            <w:r>
              <w:rPr>
                <w:spacing w:val="-10"/>
                <w:sz w:val="22"/>
              </w:rPr>
              <w:t> </w:t>
            </w:r>
            <w:r>
              <w:rPr>
                <w:sz w:val="22"/>
              </w:rPr>
              <w:t>cercetare</w:t>
            </w:r>
            <w:r>
              <w:rPr>
                <w:spacing w:val="-11"/>
                <w:sz w:val="22"/>
              </w:rPr>
              <w:t> </w:t>
            </w:r>
            <w:r>
              <w:rPr>
                <w:sz w:val="22"/>
              </w:rPr>
              <w:t>din</w:t>
            </w:r>
            <w:r>
              <w:rPr>
                <w:spacing w:val="-8"/>
                <w:sz w:val="22"/>
              </w:rPr>
              <w:t> </w:t>
            </w:r>
            <w:r>
              <w:rPr>
                <w:sz w:val="22"/>
              </w:rPr>
              <w:t>prizma</w:t>
            </w:r>
            <w:r>
              <w:rPr>
                <w:spacing w:val="-2"/>
                <w:sz w:val="22"/>
              </w:rPr>
              <w:t> </w:t>
            </w:r>
            <w:r>
              <w:rPr>
                <w:sz w:val="22"/>
              </w:rPr>
              <w:t>teoriei</w:t>
            </w:r>
            <w:r>
              <w:rPr>
                <w:spacing w:val="-7"/>
                <w:sz w:val="22"/>
              </w:rPr>
              <w:t> </w:t>
            </w:r>
            <w:r>
              <w:rPr>
                <w:sz w:val="22"/>
              </w:rPr>
              <w:t>relațiilor</w:t>
            </w:r>
            <w:r>
              <w:rPr>
                <w:spacing w:val="-1"/>
                <w:sz w:val="22"/>
              </w:rPr>
              <w:t> </w:t>
            </w:r>
            <w:r>
              <w:rPr>
                <w:spacing w:val="-2"/>
                <w:sz w:val="22"/>
              </w:rPr>
              <w:t>internaționale.</w:t>
            </w:r>
          </w:p>
          <w:p>
            <w:pPr>
              <w:pStyle w:val="TableParagraph"/>
              <w:numPr>
                <w:ilvl w:val="0"/>
                <w:numId w:val="1"/>
              </w:numPr>
              <w:tabs>
                <w:tab w:pos="286" w:val="left" w:leader="none"/>
              </w:tabs>
              <w:spacing w:line="240" w:lineRule="auto" w:before="40" w:after="0"/>
              <w:ind w:left="286" w:right="0" w:hanging="205"/>
              <w:jc w:val="left"/>
              <w:rPr>
                <w:sz w:val="22"/>
              </w:rPr>
            </w:pPr>
            <w:r>
              <w:rPr>
                <w:sz w:val="22"/>
              </w:rPr>
              <w:t>Specificul</w:t>
            </w:r>
            <w:r>
              <w:rPr>
                <w:spacing w:val="-8"/>
                <w:sz w:val="22"/>
              </w:rPr>
              <w:t> </w:t>
            </w:r>
            <w:r>
              <w:rPr>
                <w:sz w:val="22"/>
              </w:rPr>
              <w:t>cercetării</w:t>
            </w:r>
            <w:r>
              <w:rPr>
                <w:spacing w:val="-7"/>
                <w:sz w:val="22"/>
              </w:rPr>
              <w:t> </w:t>
            </w:r>
            <w:r>
              <w:rPr>
                <w:sz w:val="22"/>
              </w:rPr>
              <w:t>cantitative</w:t>
            </w:r>
            <w:r>
              <w:rPr>
                <w:spacing w:val="-7"/>
                <w:sz w:val="22"/>
              </w:rPr>
              <w:t> </w:t>
            </w:r>
            <w:r>
              <w:rPr>
                <w:sz w:val="22"/>
              </w:rPr>
              <w:t>în</w:t>
            </w:r>
            <w:r>
              <w:rPr>
                <w:spacing w:val="-8"/>
                <w:sz w:val="22"/>
              </w:rPr>
              <w:t> </w:t>
            </w:r>
            <w:r>
              <w:rPr>
                <w:sz w:val="22"/>
              </w:rPr>
              <w:t>știința</w:t>
            </w:r>
            <w:r>
              <w:rPr>
                <w:spacing w:val="-1"/>
                <w:sz w:val="22"/>
              </w:rPr>
              <w:t> </w:t>
            </w:r>
            <w:r>
              <w:rPr>
                <w:spacing w:val="-2"/>
                <w:sz w:val="22"/>
              </w:rPr>
              <w:t>politică</w:t>
            </w:r>
          </w:p>
          <w:p>
            <w:pPr>
              <w:pStyle w:val="TableParagraph"/>
              <w:numPr>
                <w:ilvl w:val="0"/>
                <w:numId w:val="1"/>
              </w:numPr>
              <w:tabs>
                <w:tab w:pos="286" w:val="left" w:leader="none"/>
              </w:tabs>
              <w:spacing w:line="240" w:lineRule="auto" w:before="35" w:after="0"/>
              <w:ind w:left="286" w:right="0" w:hanging="205"/>
              <w:jc w:val="left"/>
              <w:rPr>
                <w:sz w:val="22"/>
              </w:rPr>
            </w:pPr>
            <w:r>
              <w:rPr>
                <w:sz w:val="22"/>
              </w:rPr>
              <w:t>Cercetarea</w:t>
            </w:r>
            <w:r>
              <w:rPr>
                <w:spacing w:val="-6"/>
                <w:sz w:val="22"/>
              </w:rPr>
              <w:t> </w:t>
            </w:r>
            <w:r>
              <w:rPr>
                <w:sz w:val="22"/>
              </w:rPr>
              <w:t>calitativă</w:t>
            </w:r>
            <w:r>
              <w:rPr>
                <w:spacing w:val="-1"/>
                <w:sz w:val="22"/>
              </w:rPr>
              <w:t> </w:t>
            </w:r>
            <w:r>
              <w:rPr>
                <w:sz w:val="22"/>
              </w:rPr>
              <w:t>a</w:t>
            </w:r>
            <w:r>
              <w:rPr>
                <w:spacing w:val="-8"/>
                <w:sz w:val="22"/>
              </w:rPr>
              <w:t> </w:t>
            </w:r>
            <w:r>
              <w:rPr>
                <w:sz w:val="22"/>
              </w:rPr>
              <w:t>problemelor</w:t>
            </w:r>
            <w:r>
              <w:rPr>
                <w:spacing w:val="-3"/>
                <w:sz w:val="22"/>
              </w:rPr>
              <w:t> </w:t>
            </w:r>
            <w:r>
              <w:rPr>
                <w:sz w:val="22"/>
              </w:rPr>
              <w:t>și</w:t>
            </w:r>
            <w:r>
              <w:rPr>
                <w:spacing w:val="-8"/>
                <w:sz w:val="22"/>
              </w:rPr>
              <w:t> </w:t>
            </w:r>
            <w:r>
              <w:rPr>
                <w:sz w:val="22"/>
              </w:rPr>
              <w:t>strategiilor</w:t>
            </w:r>
            <w:r>
              <w:rPr>
                <w:spacing w:val="-3"/>
                <w:sz w:val="22"/>
              </w:rPr>
              <w:t> </w:t>
            </w:r>
            <w:r>
              <w:rPr>
                <w:sz w:val="22"/>
              </w:rPr>
              <w:t>globale</w:t>
            </w:r>
            <w:r>
              <w:rPr>
                <w:spacing w:val="-12"/>
                <w:sz w:val="22"/>
              </w:rPr>
              <w:t> </w:t>
            </w:r>
            <w:r>
              <w:rPr>
                <w:sz w:val="22"/>
              </w:rPr>
              <w:t>și</w:t>
            </w:r>
            <w:r>
              <w:rPr>
                <w:spacing w:val="-8"/>
                <w:sz w:val="22"/>
              </w:rPr>
              <w:t> </w:t>
            </w:r>
            <w:r>
              <w:rPr>
                <w:spacing w:val="-2"/>
                <w:sz w:val="22"/>
              </w:rPr>
              <w:t>regionale.</w:t>
            </w:r>
          </w:p>
        </w:tc>
        <w:tc>
          <w:tcPr>
            <w:tcW w:w="134" w:type="dxa"/>
            <w:tcBorders>
              <w:top w:val="nil"/>
              <w:bottom w:val="nil"/>
              <w:right w:val="nil"/>
            </w:tcBorders>
          </w:tcPr>
          <w:p>
            <w:pPr>
              <w:pStyle w:val="TableParagraph"/>
              <w:ind w:left="0"/>
              <w:rPr>
                <w:sz w:val="22"/>
              </w:rPr>
            </w:pPr>
          </w:p>
        </w:tc>
      </w:tr>
      <w:tr>
        <w:trPr>
          <w:trHeight w:val="4642" w:hRule="atLeast"/>
        </w:trPr>
        <w:tc>
          <w:tcPr>
            <w:tcW w:w="1085" w:type="dxa"/>
          </w:tcPr>
          <w:p>
            <w:pPr>
              <w:pStyle w:val="TableParagraph"/>
              <w:spacing w:line="278" w:lineRule="auto" w:before="1"/>
              <w:ind w:left="110" w:right="190"/>
              <w:rPr>
                <w:b/>
                <w:sz w:val="22"/>
              </w:rPr>
            </w:pPr>
            <w:r>
              <w:rPr>
                <w:b/>
                <w:spacing w:val="-2"/>
                <w:sz w:val="22"/>
              </w:rPr>
              <w:t>Biblio-grafia </w:t>
            </w:r>
            <w:r>
              <w:rPr>
                <w:b/>
                <w:spacing w:val="-4"/>
                <w:sz w:val="22"/>
              </w:rPr>
              <w:t>minimal </w:t>
            </w:r>
            <w:r>
              <w:rPr>
                <w:b/>
                <w:spacing w:val="-10"/>
                <w:sz w:val="22"/>
              </w:rPr>
              <w:t>ă</w:t>
            </w:r>
          </w:p>
        </w:tc>
        <w:tc>
          <w:tcPr>
            <w:tcW w:w="9515" w:type="dxa"/>
            <w:gridSpan w:val="7"/>
          </w:tcPr>
          <w:p>
            <w:pPr>
              <w:pStyle w:val="TableParagraph"/>
              <w:spacing w:before="35"/>
              <w:ind w:left="0"/>
              <w:rPr>
                <w:b/>
                <w:sz w:val="22"/>
              </w:rPr>
            </w:pPr>
          </w:p>
          <w:p>
            <w:pPr>
              <w:pStyle w:val="TableParagraph"/>
              <w:spacing w:before="1"/>
              <w:rPr>
                <w:sz w:val="22"/>
              </w:rPr>
            </w:pPr>
            <w:r>
              <w:rPr>
                <w:b/>
                <w:sz w:val="22"/>
              </w:rPr>
              <w:t>Surse</w:t>
            </w:r>
            <w:r>
              <w:rPr>
                <w:b/>
                <w:spacing w:val="-9"/>
                <w:sz w:val="22"/>
              </w:rPr>
              <w:t> </w:t>
            </w:r>
            <w:r>
              <w:rPr>
                <w:b/>
                <w:spacing w:val="-2"/>
                <w:sz w:val="22"/>
              </w:rPr>
              <w:t>bibliografice</w:t>
            </w:r>
            <w:r>
              <w:rPr>
                <w:spacing w:val="-2"/>
                <w:sz w:val="22"/>
              </w:rPr>
              <w:t>:</w:t>
            </w:r>
          </w:p>
          <w:p>
            <w:pPr>
              <w:pStyle w:val="TableParagraph"/>
              <w:numPr>
                <w:ilvl w:val="0"/>
                <w:numId w:val="2"/>
              </w:numPr>
              <w:tabs>
                <w:tab w:pos="257" w:val="left" w:leader="none"/>
              </w:tabs>
              <w:spacing w:line="240" w:lineRule="auto" w:before="45" w:after="0"/>
              <w:ind w:left="4" w:right="-58" w:firstLine="0"/>
              <w:jc w:val="left"/>
              <w:rPr>
                <w:sz w:val="22"/>
              </w:rPr>
            </w:pPr>
            <w:r>
              <w:rPr>
                <w:sz w:val="22"/>
              </w:rPr>
              <w:t>Mija,</w:t>
            </w:r>
            <w:r>
              <w:rPr>
                <w:spacing w:val="28"/>
                <w:sz w:val="22"/>
              </w:rPr>
              <w:t> </w:t>
            </w:r>
            <w:r>
              <w:rPr>
                <w:sz w:val="22"/>
              </w:rPr>
              <w:t>Valeriu.</w:t>
            </w:r>
            <w:r>
              <w:rPr>
                <w:spacing w:val="34"/>
                <w:sz w:val="22"/>
              </w:rPr>
              <w:t> </w:t>
            </w:r>
            <w:r>
              <w:rPr>
                <w:sz w:val="22"/>
              </w:rPr>
              <w:t>Metodologia</w:t>
            </w:r>
            <w:r>
              <w:rPr>
                <w:spacing w:val="32"/>
                <w:sz w:val="22"/>
              </w:rPr>
              <w:t> </w:t>
            </w:r>
            <w:r>
              <w:rPr>
                <w:sz w:val="22"/>
              </w:rPr>
              <w:t>și</w:t>
            </w:r>
            <w:r>
              <w:rPr>
                <w:spacing w:val="27"/>
                <w:sz w:val="22"/>
              </w:rPr>
              <w:t> </w:t>
            </w:r>
            <w:r>
              <w:rPr>
                <w:sz w:val="22"/>
              </w:rPr>
              <w:t>etica</w:t>
            </w:r>
            <w:r>
              <w:rPr>
                <w:spacing w:val="32"/>
                <w:sz w:val="22"/>
              </w:rPr>
              <w:t> </w:t>
            </w:r>
            <w:r>
              <w:rPr>
                <w:sz w:val="22"/>
              </w:rPr>
              <w:t>cercetării</w:t>
            </w:r>
            <w:r>
              <w:rPr>
                <w:spacing w:val="27"/>
                <w:sz w:val="22"/>
              </w:rPr>
              <w:t> </w:t>
            </w:r>
            <w:r>
              <w:rPr>
                <w:sz w:val="22"/>
              </w:rPr>
              <w:t>în</w:t>
            </w:r>
            <w:r>
              <w:rPr>
                <w:spacing w:val="26"/>
                <w:sz w:val="22"/>
              </w:rPr>
              <w:t> </w:t>
            </w:r>
            <w:r>
              <w:rPr>
                <w:sz w:val="22"/>
              </w:rPr>
              <w:t>științele</w:t>
            </w:r>
            <w:r>
              <w:rPr>
                <w:spacing w:val="24"/>
                <w:sz w:val="22"/>
              </w:rPr>
              <w:t> </w:t>
            </w:r>
            <w:r>
              <w:rPr>
                <w:sz w:val="22"/>
              </w:rPr>
              <w:t>politice</w:t>
            </w:r>
            <w:r>
              <w:rPr>
                <w:spacing w:val="24"/>
                <w:sz w:val="22"/>
              </w:rPr>
              <w:t> </w:t>
            </w:r>
            <w:r>
              <w:rPr>
                <w:sz w:val="22"/>
              </w:rPr>
              <w:t>=</w:t>
            </w:r>
            <w:r>
              <w:rPr>
                <w:spacing w:val="30"/>
                <w:sz w:val="22"/>
              </w:rPr>
              <w:t> </w:t>
            </w:r>
            <w:r>
              <w:rPr>
                <w:sz w:val="22"/>
              </w:rPr>
              <w:t>"Methodology</w:t>
            </w:r>
            <w:r>
              <w:rPr>
                <w:spacing w:val="26"/>
                <w:sz w:val="22"/>
              </w:rPr>
              <w:t> </w:t>
            </w:r>
            <w:r>
              <w:rPr>
                <w:sz w:val="22"/>
              </w:rPr>
              <w:t>and</w:t>
            </w:r>
            <w:r>
              <w:rPr>
                <w:spacing w:val="26"/>
                <w:sz w:val="22"/>
              </w:rPr>
              <w:t> </w:t>
            </w:r>
            <w:r>
              <w:rPr>
                <w:sz w:val="22"/>
              </w:rPr>
              <w:t>Ethics</w:t>
            </w:r>
            <w:r>
              <w:rPr>
                <w:spacing w:val="30"/>
                <w:sz w:val="22"/>
              </w:rPr>
              <w:t> </w:t>
            </w:r>
            <w:r>
              <w:rPr>
                <w:sz w:val="22"/>
              </w:rPr>
              <w:t>of</w:t>
            </w:r>
            <w:r>
              <w:rPr>
                <w:spacing w:val="29"/>
                <w:sz w:val="22"/>
              </w:rPr>
              <w:t> </w:t>
            </w:r>
            <w:r>
              <w:rPr>
                <w:sz w:val="22"/>
              </w:rPr>
              <w:t>Rese Political</w:t>
            </w:r>
            <w:r>
              <w:rPr>
                <w:spacing w:val="40"/>
                <w:sz w:val="22"/>
              </w:rPr>
              <w:t> </w:t>
            </w:r>
            <w:r>
              <w:rPr>
                <w:sz w:val="22"/>
              </w:rPr>
              <w:t>Science"</w:t>
            </w:r>
            <w:r>
              <w:rPr>
                <w:spacing w:val="40"/>
                <w:sz w:val="22"/>
              </w:rPr>
              <w:t> </w:t>
            </w:r>
            <w:r>
              <w:rPr>
                <w:sz w:val="22"/>
              </w:rPr>
              <w:t>:</w:t>
            </w:r>
            <w:r>
              <w:rPr>
                <w:spacing w:val="40"/>
                <w:sz w:val="22"/>
              </w:rPr>
              <w:t> </w:t>
            </w:r>
            <w:r>
              <w:rPr>
                <w:sz w:val="22"/>
              </w:rPr>
              <w:t>Suport</w:t>
            </w:r>
            <w:r>
              <w:rPr>
                <w:spacing w:val="40"/>
                <w:sz w:val="22"/>
              </w:rPr>
              <w:t> </w:t>
            </w:r>
            <w:r>
              <w:rPr>
                <w:sz w:val="22"/>
              </w:rPr>
              <w:t>de</w:t>
            </w:r>
            <w:r>
              <w:rPr>
                <w:spacing w:val="40"/>
                <w:sz w:val="22"/>
              </w:rPr>
              <w:t> </w:t>
            </w:r>
            <w:r>
              <w:rPr>
                <w:sz w:val="22"/>
              </w:rPr>
              <w:t>curs</w:t>
            </w:r>
            <w:r>
              <w:rPr>
                <w:spacing w:val="40"/>
                <w:sz w:val="22"/>
              </w:rPr>
              <w:t> </w:t>
            </w:r>
            <w:r>
              <w:rPr>
                <w:sz w:val="22"/>
              </w:rPr>
              <w:t>/</w:t>
            </w:r>
            <w:r>
              <w:rPr>
                <w:spacing w:val="40"/>
                <w:sz w:val="22"/>
              </w:rPr>
              <w:t> </w:t>
            </w:r>
            <w:r>
              <w:rPr>
                <w:sz w:val="22"/>
              </w:rPr>
              <w:t>Mija</w:t>
            </w:r>
            <w:r>
              <w:rPr>
                <w:spacing w:val="40"/>
                <w:sz w:val="22"/>
              </w:rPr>
              <w:t> </w:t>
            </w:r>
            <w:r>
              <w:rPr>
                <w:sz w:val="22"/>
              </w:rPr>
              <w:t>Valeriu</w:t>
            </w:r>
            <w:r>
              <w:rPr>
                <w:spacing w:val="40"/>
                <w:sz w:val="22"/>
              </w:rPr>
              <w:t> </w:t>
            </w:r>
            <w:r>
              <w:rPr>
                <w:sz w:val="22"/>
              </w:rPr>
              <w:t>;</w:t>
            </w:r>
            <w:r>
              <w:rPr>
                <w:spacing w:val="40"/>
                <w:sz w:val="22"/>
              </w:rPr>
              <w:t> </w:t>
            </w:r>
            <w:r>
              <w:rPr>
                <w:sz w:val="22"/>
              </w:rPr>
              <w:t>redactor</w:t>
            </w:r>
            <w:r>
              <w:rPr>
                <w:spacing w:val="40"/>
                <w:sz w:val="22"/>
              </w:rPr>
              <w:t> </w:t>
            </w:r>
            <w:r>
              <w:rPr>
                <w:sz w:val="22"/>
              </w:rPr>
              <w:t>ştiinţific:</w:t>
            </w:r>
            <w:r>
              <w:rPr>
                <w:spacing w:val="40"/>
                <w:sz w:val="22"/>
              </w:rPr>
              <w:t> </w:t>
            </w:r>
            <w:r>
              <w:rPr>
                <w:sz w:val="22"/>
              </w:rPr>
              <w:t>Coadă</w:t>
            </w:r>
            <w:r>
              <w:rPr>
                <w:spacing w:val="40"/>
                <w:sz w:val="22"/>
              </w:rPr>
              <w:t> </w:t>
            </w:r>
            <w:r>
              <w:rPr>
                <w:sz w:val="22"/>
              </w:rPr>
              <w:t>Ludmila</w:t>
            </w:r>
            <w:r>
              <w:rPr>
                <w:spacing w:val="40"/>
                <w:sz w:val="22"/>
              </w:rPr>
              <w:t> </w:t>
            </w:r>
            <w:r>
              <w:rPr>
                <w:sz w:val="22"/>
              </w:rPr>
              <w:t>;</w:t>
            </w:r>
            <w:r>
              <w:rPr>
                <w:spacing w:val="40"/>
                <w:sz w:val="22"/>
              </w:rPr>
              <w:t> </w:t>
            </w:r>
            <w:r>
              <w:rPr>
                <w:sz w:val="22"/>
              </w:rPr>
              <w:t>Universitatea Internaţională din Moldova, Facultatea Relații Internaționale, Ştiințe Politice și Jurnalism. – Chişinău : S. ([MS Logo]). – С. 12-18. (134 p.)</w:t>
            </w:r>
          </w:p>
          <w:p>
            <w:pPr>
              <w:pStyle w:val="TableParagraph"/>
              <w:numPr>
                <w:ilvl w:val="0"/>
                <w:numId w:val="2"/>
              </w:numPr>
              <w:tabs>
                <w:tab w:pos="171" w:val="left" w:leader="none"/>
              </w:tabs>
              <w:spacing w:line="240" w:lineRule="auto" w:before="0" w:after="0"/>
              <w:ind w:left="4" w:right="0" w:firstLine="0"/>
              <w:jc w:val="both"/>
              <w:rPr>
                <w:sz w:val="22"/>
              </w:rPr>
            </w:pPr>
            <w:r>
              <w:rPr>
                <w:sz w:val="22"/>
              </w:rPr>
              <w:t>Relaţiile</w:t>
            </w:r>
            <w:r>
              <w:rPr>
                <w:spacing w:val="-8"/>
                <w:sz w:val="22"/>
              </w:rPr>
              <w:t> </w:t>
            </w:r>
            <w:r>
              <w:rPr>
                <w:sz w:val="22"/>
              </w:rPr>
              <w:t>internaţionale</w:t>
            </w:r>
            <w:r>
              <w:rPr>
                <w:spacing w:val="-8"/>
                <w:sz w:val="22"/>
              </w:rPr>
              <w:t> </w:t>
            </w:r>
            <w:r>
              <w:rPr>
                <w:sz w:val="22"/>
              </w:rPr>
              <w:t>în</w:t>
            </w:r>
            <w:r>
              <w:rPr>
                <w:spacing w:val="-11"/>
                <w:sz w:val="22"/>
              </w:rPr>
              <w:t> </w:t>
            </w:r>
            <w:r>
              <w:rPr>
                <w:sz w:val="22"/>
              </w:rPr>
              <w:t>curriculumul</w:t>
            </w:r>
            <w:r>
              <w:rPr>
                <w:spacing w:val="-9"/>
                <w:sz w:val="22"/>
              </w:rPr>
              <w:t> </w:t>
            </w:r>
            <w:r>
              <w:rPr>
                <w:sz w:val="22"/>
              </w:rPr>
              <w:t>universitar:</w:t>
            </w:r>
            <w:r>
              <w:rPr>
                <w:spacing w:val="-9"/>
                <w:sz w:val="22"/>
              </w:rPr>
              <w:t> </w:t>
            </w:r>
            <w:r>
              <w:rPr>
                <w:sz w:val="22"/>
              </w:rPr>
              <w:t>bazele</w:t>
            </w:r>
            <w:r>
              <w:rPr>
                <w:spacing w:val="-8"/>
                <w:sz w:val="22"/>
              </w:rPr>
              <w:t> </w:t>
            </w:r>
            <w:r>
              <w:rPr>
                <w:sz w:val="22"/>
              </w:rPr>
              <w:t>teoretico-metodologice</w:t>
            </w:r>
            <w:r>
              <w:rPr>
                <w:spacing w:val="-11"/>
                <w:sz w:val="22"/>
              </w:rPr>
              <w:t> </w:t>
            </w:r>
            <w:r>
              <w:rPr>
                <w:sz w:val="22"/>
              </w:rPr>
              <w:t>=</w:t>
            </w:r>
            <w:r>
              <w:rPr>
                <w:spacing w:val="-5"/>
                <w:sz w:val="22"/>
              </w:rPr>
              <w:t> </w:t>
            </w:r>
            <w:r>
              <w:rPr>
                <w:sz w:val="22"/>
              </w:rPr>
              <w:t>International</w:t>
            </w:r>
            <w:r>
              <w:rPr>
                <w:spacing w:val="-9"/>
                <w:sz w:val="22"/>
              </w:rPr>
              <w:t> </w:t>
            </w:r>
            <w:r>
              <w:rPr>
                <w:sz w:val="22"/>
              </w:rPr>
              <w:t>relations in university curricula: theoretical and methodological fundamentals / Univ. de Stat din Moldova ; coord.: Valentina Teosa [et al.]. – Chişinău : CEP USM, 2016. –P. 379- 393.</w:t>
            </w:r>
            <w:r>
              <w:rPr>
                <w:spacing w:val="80"/>
                <w:sz w:val="22"/>
              </w:rPr>
              <w:t> </w:t>
            </w:r>
            <w:r>
              <w:rPr>
                <w:sz w:val="22"/>
              </w:rPr>
              <w:t>ISBN 978-9975-71-828-8.</w:t>
            </w:r>
          </w:p>
          <w:p>
            <w:pPr>
              <w:pStyle w:val="TableParagraph"/>
              <w:numPr>
                <w:ilvl w:val="0"/>
                <w:numId w:val="2"/>
              </w:numPr>
              <w:tabs>
                <w:tab w:pos="171" w:val="left" w:leader="none"/>
              </w:tabs>
              <w:spacing w:line="240" w:lineRule="auto" w:before="1" w:after="0"/>
              <w:ind w:left="4" w:right="-15" w:firstLine="0"/>
              <w:jc w:val="both"/>
              <w:rPr>
                <w:sz w:val="22"/>
              </w:rPr>
            </w:pPr>
            <w:r>
              <w:rPr>
                <w:sz w:val="22"/>
              </w:rPr>
              <w:t>Căldare Gh., Stercul N. Elaborarea referatului ştiinţific. În: Relațiile internaționale în curriculumul universitar: bazele teoretico-metodologice. Coord. V. TEOSA, Gr. VASILESCU , V. ROTARU. Chișinău: CEP USM, 2016, p. 459-467.</w:t>
            </w:r>
          </w:p>
          <w:p>
            <w:pPr>
              <w:pStyle w:val="TableParagraph"/>
              <w:numPr>
                <w:ilvl w:val="0"/>
                <w:numId w:val="2"/>
              </w:numPr>
              <w:tabs>
                <w:tab w:pos="166" w:val="left" w:leader="none"/>
              </w:tabs>
              <w:spacing w:line="240" w:lineRule="auto" w:before="0" w:after="0"/>
              <w:ind w:left="4" w:right="-15" w:firstLine="0"/>
              <w:jc w:val="both"/>
              <w:rPr>
                <w:sz w:val="22"/>
              </w:rPr>
            </w:pPr>
            <w:r>
              <w:rPr>
                <w:sz w:val="22"/>
              </w:rPr>
              <w:t>Teosa V., Ciobu E. Relaţiile internaţionale ca obiect de cercetare: evoluţie şi perspective. În: Studii internaţionale. Viziuni din Moldova. Vol.1, nr.1. Chișinău: CEP USM, 2006, p. 9-16.</w:t>
            </w:r>
          </w:p>
          <w:p>
            <w:pPr>
              <w:pStyle w:val="TableParagraph"/>
              <w:numPr>
                <w:ilvl w:val="0"/>
                <w:numId w:val="2"/>
              </w:numPr>
              <w:tabs>
                <w:tab w:pos="229" w:val="left" w:leader="none"/>
              </w:tabs>
              <w:spacing w:line="240" w:lineRule="auto" w:before="2" w:after="0"/>
              <w:ind w:left="229" w:right="0" w:hanging="225"/>
              <w:jc w:val="both"/>
              <w:rPr>
                <w:sz w:val="22"/>
              </w:rPr>
            </w:pPr>
            <w:r>
              <w:rPr>
                <w:sz w:val="22"/>
              </w:rPr>
              <w:t>Agabrian</w:t>
            </w:r>
            <w:r>
              <w:rPr>
                <w:spacing w:val="-9"/>
                <w:sz w:val="22"/>
              </w:rPr>
              <w:t> </w:t>
            </w:r>
            <w:r>
              <w:rPr>
                <w:sz w:val="22"/>
              </w:rPr>
              <w:t>M.</w:t>
            </w:r>
            <w:r>
              <w:rPr>
                <w:spacing w:val="-5"/>
                <w:sz w:val="22"/>
              </w:rPr>
              <w:t> </w:t>
            </w:r>
            <w:r>
              <w:rPr>
                <w:i/>
                <w:sz w:val="22"/>
              </w:rPr>
              <w:t>Cercetarea</w:t>
            </w:r>
            <w:r>
              <w:rPr>
                <w:i/>
                <w:spacing w:val="-5"/>
                <w:sz w:val="22"/>
              </w:rPr>
              <w:t> </w:t>
            </w:r>
            <w:r>
              <w:rPr>
                <w:i/>
                <w:sz w:val="22"/>
              </w:rPr>
              <w:t>calitativă</w:t>
            </w:r>
            <w:r>
              <w:rPr>
                <w:i/>
                <w:spacing w:val="-4"/>
                <w:sz w:val="22"/>
              </w:rPr>
              <w:t> </w:t>
            </w:r>
            <w:r>
              <w:rPr>
                <w:i/>
                <w:sz w:val="22"/>
              </w:rPr>
              <w:t>a</w:t>
            </w:r>
            <w:r>
              <w:rPr>
                <w:i/>
                <w:spacing w:val="-9"/>
                <w:sz w:val="22"/>
              </w:rPr>
              <w:t> </w:t>
            </w:r>
            <w:r>
              <w:rPr>
                <w:i/>
                <w:sz w:val="22"/>
              </w:rPr>
              <w:t>socialului</w:t>
            </w:r>
            <w:r>
              <w:rPr>
                <w:sz w:val="22"/>
              </w:rPr>
              <w:t>.</w:t>
            </w:r>
            <w:r>
              <w:rPr>
                <w:spacing w:val="-2"/>
                <w:sz w:val="22"/>
              </w:rPr>
              <w:t> </w:t>
            </w:r>
            <w:r>
              <w:rPr>
                <w:sz w:val="22"/>
              </w:rPr>
              <w:t>Iași:</w:t>
            </w:r>
            <w:r>
              <w:rPr>
                <w:spacing w:val="-8"/>
                <w:sz w:val="22"/>
              </w:rPr>
              <w:t> </w:t>
            </w:r>
            <w:r>
              <w:rPr>
                <w:sz w:val="22"/>
              </w:rPr>
              <w:t>Institutul</w:t>
            </w:r>
            <w:r>
              <w:rPr>
                <w:spacing w:val="-8"/>
                <w:sz w:val="22"/>
              </w:rPr>
              <w:t> </w:t>
            </w:r>
            <w:r>
              <w:rPr>
                <w:sz w:val="22"/>
              </w:rPr>
              <w:t>European,</w:t>
            </w:r>
            <w:r>
              <w:rPr>
                <w:spacing w:val="1"/>
                <w:sz w:val="22"/>
              </w:rPr>
              <w:t> </w:t>
            </w:r>
            <w:r>
              <w:rPr>
                <w:spacing w:val="-2"/>
                <w:sz w:val="22"/>
              </w:rPr>
              <w:t>2004.</w:t>
            </w:r>
          </w:p>
          <w:p>
            <w:pPr>
              <w:pStyle w:val="TableParagraph"/>
              <w:numPr>
                <w:ilvl w:val="0"/>
                <w:numId w:val="2"/>
              </w:numPr>
              <w:tabs>
                <w:tab w:pos="224" w:val="left" w:leader="none"/>
              </w:tabs>
              <w:spacing w:line="251" w:lineRule="exact" w:before="2" w:after="0"/>
              <w:ind w:left="224" w:right="0" w:hanging="220"/>
              <w:jc w:val="left"/>
              <w:rPr>
                <w:sz w:val="22"/>
              </w:rPr>
            </w:pPr>
            <w:r>
              <w:rPr>
                <w:sz w:val="22"/>
              </w:rPr>
              <w:t>Cojocaru</w:t>
            </w:r>
            <w:r>
              <w:rPr>
                <w:spacing w:val="-5"/>
                <w:sz w:val="22"/>
              </w:rPr>
              <w:t> </w:t>
            </w:r>
            <w:r>
              <w:rPr>
                <w:sz w:val="22"/>
              </w:rPr>
              <w:t>N.</w:t>
            </w:r>
            <w:r>
              <w:rPr>
                <w:spacing w:val="-5"/>
                <w:sz w:val="22"/>
              </w:rPr>
              <w:t> </w:t>
            </w:r>
            <w:r>
              <w:rPr>
                <w:i/>
                <w:sz w:val="22"/>
              </w:rPr>
              <w:t>Cercetare</w:t>
            </w:r>
            <w:r>
              <w:rPr>
                <w:i/>
                <w:spacing w:val="-5"/>
                <w:sz w:val="22"/>
              </w:rPr>
              <w:t> </w:t>
            </w:r>
            <w:r>
              <w:rPr>
                <w:i/>
                <w:sz w:val="22"/>
              </w:rPr>
              <w:t>calitativă</w:t>
            </w:r>
            <w:r>
              <w:rPr>
                <w:sz w:val="22"/>
              </w:rPr>
              <w:t>.</w:t>
            </w:r>
            <w:r>
              <w:rPr>
                <w:spacing w:val="-2"/>
                <w:sz w:val="22"/>
              </w:rPr>
              <w:t> </w:t>
            </w:r>
            <w:r>
              <w:rPr>
                <w:sz w:val="22"/>
              </w:rPr>
              <w:t>Chișinău:</w:t>
            </w:r>
            <w:r>
              <w:rPr>
                <w:spacing w:val="-8"/>
                <w:sz w:val="22"/>
              </w:rPr>
              <w:t> </w:t>
            </w:r>
            <w:r>
              <w:rPr>
                <w:sz w:val="22"/>
              </w:rPr>
              <w:t>CEP</w:t>
            </w:r>
            <w:r>
              <w:rPr>
                <w:spacing w:val="-3"/>
                <w:sz w:val="22"/>
              </w:rPr>
              <w:t> </w:t>
            </w:r>
            <w:r>
              <w:rPr>
                <w:sz w:val="22"/>
              </w:rPr>
              <w:t>USM,</w:t>
            </w:r>
            <w:r>
              <w:rPr>
                <w:spacing w:val="-1"/>
                <w:sz w:val="22"/>
              </w:rPr>
              <w:t> </w:t>
            </w:r>
            <w:r>
              <w:rPr>
                <w:spacing w:val="-2"/>
                <w:sz w:val="22"/>
              </w:rPr>
              <w:t>2010.</w:t>
            </w:r>
          </w:p>
          <w:p>
            <w:pPr>
              <w:pStyle w:val="TableParagraph"/>
              <w:numPr>
                <w:ilvl w:val="0"/>
                <w:numId w:val="2"/>
              </w:numPr>
              <w:tabs>
                <w:tab w:pos="229" w:val="left" w:leader="none"/>
              </w:tabs>
              <w:spacing w:line="251" w:lineRule="exact" w:before="0" w:after="0"/>
              <w:ind w:left="229" w:right="0" w:hanging="225"/>
              <w:jc w:val="left"/>
              <w:rPr>
                <w:sz w:val="22"/>
              </w:rPr>
            </w:pPr>
            <w:r>
              <w:rPr>
                <w:sz w:val="22"/>
              </w:rPr>
              <w:t>Moscovici</w:t>
            </w:r>
            <w:r>
              <w:rPr>
                <w:spacing w:val="30"/>
                <w:sz w:val="22"/>
              </w:rPr>
              <w:t> </w:t>
            </w:r>
            <w:r>
              <w:rPr>
                <w:sz w:val="22"/>
              </w:rPr>
              <w:t>S.,</w:t>
            </w:r>
            <w:r>
              <w:rPr>
                <w:spacing w:val="45"/>
                <w:sz w:val="22"/>
              </w:rPr>
              <w:t> </w:t>
            </w:r>
            <w:r>
              <w:rPr>
                <w:sz w:val="22"/>
              </w:rPr>
              <w:t>Buschini</w:t>
            </w:r>
            <w:r>
              <w:rPr>
                <w:spacing w:val="41"/>
                <w:sz w:val="22"/>
              </w:rPr>
              <w:t> </w:t>
            </w:r>
            <w:r>
              <w:rPr>
                <w:sz w:val="22"/>
              </w:rPr>
              <w:t>F.(coord.).</w:t>
            </w:r>
            <w:r>
              <w:rPr>
                <w:spacing w:val="4"/>
                <w:sz w:val="22"/>
              </w:rPr>
              <w:t> </w:t>
            </w:r>
            <w:r>
              <w:rPr>
                <w:i/>
                <w:sz w:val="22"/>
              </w:rPr>
              <w:t>Metodologia</w:t>
            </w:r>
            <w:r>
              <w:rPr>
                <w:i/>
                <w:spacing w:val="-9"/>
                <w:sz w:val="22"/>
              </w:rPr>
              <w:t> </w:t>
            </w:r>
            <w:r>
              <w:rPr>
                <w:i/>
                <w:sz w:val="22"/>
              </w:rPr>
              <w:t>științelor</w:t>
            </w:r>
            <w:r>
              <w:rPr>
                <w:i/>
                <w:spacing w:val="-2"/>
                <w:sz w:val="22"/>
              </w:rPr>
              <w:t> </w:t>
            </w:r>
            <w:r>
              <w:rPr>
                <w:i/>
                <w:sz w:val="22"/>
              </w:rPr>
              <w:t>socioumane</w:t>
            </w:r>
            <w:r>
              <w:rPr>
                <w:sz w:val="22"/>
              </w:rPr>
              <w:t>.</w:t>
            </w:r>
            <w:r>
              <w:rPr>
                <w:spacing w:val="3"/>
                <w:sz w:val="22"/>
              </w:rPr>
              <w:t> </w:t>
            </w:r>
            <w:r>
              <w:rPr>
                <w:sz w:val="22"/>
              </w:rPr>
              <w:t>Iași:</w:t>
            </w:r>
            <w:r>
              <w:rPr>
                <w:spacing w:val="-7"/>
                <w:sz w:val="22"/>
              </w:rPr>
              <w:t> </w:t>
            </w:r>
            <w:r>
              <w:rPr>
                <w:spacing w:val="-2"/>
                <w:sz w:val="22"/>
              </w:rPr>
              <w:t>Polirom.</w:t>
            </w:r>
          </w:p>
          <w:p>
            <w:pPr>
              <w:pStyle w:val="TableParagraph"/>
              <w:numPr>
                <w:ilvl w:val="0"/>
                <w:numId w:val="2"/>
              </w:numPr>
              <w:tabs>
                <w:tab w:pos="171" w:val="left" w:leader="none"/>
              </w:tabs>
              <w:spacing w:line="238" w:lineRule="exact" w:before="1" w:after="0"/>
              <w:ind w:left="171" w:right="0" w:hanging="167"/>
              <w:jc w:val="left"/>
              <w:rPr>
                <w:sz w:val="22"/>
              </w:rPr>
            </w:pPr>
            <w:r>
              <w:rPr>
                <w:sz w:val="22"/>
              </w:rPr>
              <w:t>Caciuc</w:t>
            </w:r>
            <w:r>
              <w:rPr>
                <w:spacing w:val="-7"/>
                <w:sz w:val="22"/>
              </w:rPr>
              <w:t> </w:t>
            </w:r>
            <w:r>
              <w:rPr>
                <w:sz w:val="22"/>
              </w:rPr>
              <w:t>L.</w:t>
            </w:r>
            <w:r>
              <w:rPr>
                <w:spacing w:val="-1"/>
                <w:sz w:val="22"/>
              </w:rPr>
              <w:t> </w:t>
            </w:r>
            <w:r>
              <w:rPr>
                <w:sz w:val="22"/>
              </w:rPr>
              <w:t>Metodologia</w:t>
            </w:r>
            <w:r>
              <w:rPr>
                <w:spacing w:val="-2"/>
                <w:sz w:val="22"/>
              </w:rPr>
              <w:t> </w:t>
            </w:r>
            <w:r>
              <w:rPr>
                <w:sz w:val="22"/>
              </w:rPr>
              <w:t>cercetării</w:t>
            </w:r>
            <w:r>
              <w:rPr>
                <w:spacing w:val="-8"/>
                <w:sz w:val="22"/>
              </w:rPr>
              <w:t> </w:t>
            </w:r>
            <w:r>
              <w:rPr>
                <w:sz w:val="22"/>
              </w:rPr>
              <w:t>ştiinţifice.</w:t>
            </w:r>
            <w:r>
              <w:rPr>
                <w:spacing w:val="-3"/>
                <w:sz w:val="22"/>
              </w:rPr>
              <w:t> </w:t>
            </w:r>
            <w:r>
              <w:rPr>
                <w:sz w:val="22"/>
              </w:rPr>
              <w:t>Cluj-Napoca:</w:t>
            </w:r>
            <w:r>
              <w:rPr>
                <w:spacing w:val="-8"/>
                <w:sz w:val="22"/>
              </w:rPr>
              <w:t> </w:t>
            </w:r>
            <w:r>
              <w:rPr>
                <w:sz w:val="22"/>
              </w:rPr>
              <w:t>Eikon,,</w:t>
            </w:r>
            <w:r>
              <w:rPr>
                <w:spacing w:val="-3"/>
                <w:sz w:val="22"/>
              </w:rPr>
              <w:t> </w:t>
            </w:r>
            <w:r>
              <w:rPr>
                <w:sz w:val="22"/>
              </w:rPr>
              <w:t>2012.</w:t>
            </w:r>
            <w:r>
              <w:rPr>
                <w:spacing w:val="-7"/>
                <w:sz w:val="22"/>
              </w:rPr>
              <w:t> </w:t>
            </w:r>
            <w:r>
              <w:rPr>
                <w:sz w:val="22"/>
              </w:rPr>
              <w:t>138</w:t>
            </w:r>
            <w:r>
              <w:rPr>
                <w:spacing w:val="-8"/>
                <w:sz w:val="22"/>
              </w:rPr>
              <w:t> </w:t>
            </w:r>
            <w:r>
              <w:rPr>
                <w:spacing w:val="-5"/>
                <w:sz w:val="22"/>
              </w:rPr>
              <w:t>p.</w:t>
            </w:r>
          </w:p>
        </w:tc>
        <w:tc>
          <w:tcPr>
            <w:tcW w:w="134" w:type="dxa"/>
            <w:tcBorders>
              <w:top w:val="nil"/>
              <w:bottom w:val="nil"/>
              <w:right w:val="nil"/>
            </w:tcBorders>
          </w:tcPr>
          <w:p>
            <w:pPr>
              <w:pStyle w:val="TableParagraph"/>
              <w:ind w:left="0"/>
              <w:rPr>
                <w:sz w:val="22"/>
              </w:rPr>
            </w:pPr>
          </w:p>
        </w:tc>
      </w:tr>
    </w:tbl>
    <w:p>
      <w:pPr>
        <w:pStyle w:val="TableParagraph"/>
        <w:spacing w:after="0"/>
        <w:rPr>
          <w:sz w:val="22"/>
        </w:rPr>
        <w:sectPr>
          <w:type w:val="continuous"/>
          <w:pgSz w:w="11910" w:h="16840"/>
          <w:pgMar w:top="460" w:bottom="0" w:left="566" w:right="425"/>
        </w:sectPr>
      </w:pPr>
    </w:p>
    <w:tbl>
      <w:tblPr>
        <w:tblW w:w="0" w:type="auto"/>
        <w:jc w:val="left"/>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5"/>
        <w:gridCol w:w="9518"/>
      </w:tblGrid>
      <w:tr>
        <w:trPr>
          <w:trHeight w:val="5060" w:hRule="atLeast"/>
        </w:trPr>
        <w:tc>
          <w:tcPr>
            <w:tcW w:w="1085" w:type="dxa"/>
          </w:tcPr>
          <w:p>
            <w:pPr>
              <w:pStyle w:val="TableParagraph"/>
              <w:ind w:left="0"/>
              <w:rPr>
                <w:sz w:val="22"/>
              </w:rPr>
            </w:pPr>
          </w:p>
        </w:tc>
        <w:tc>
          <w:tcPr>
            <w:tcW w:w="9518" w:type="dxa"/>
          </w:tcPr>
          <w:p>
            <w:pPr>
              <w:pStyle w:val="TableParagraph"/>
              <w:numPr>
                <w:ilvl w:val="0"/>
                <w:numId w:val="3"/>
              </w:numPr>
              <w:tabs>
                <w:tab w:pos="171" w:val="left" w:leader="none"/>
                <w:tab w:pos="1353" w:val="left" w:leader="none"/>
                <w:tab w:pos="2337" w:val="left" w:leader="none"/>
                <w:tab w:pos="4002" w:val="left" w:leader="none"/>
                <w:tab w:pos="5130" w:val="left" w:leader="none"/>
                <w:tab w:pos="6478" w:val="left" w:leader="none"/>
                <w:tab w:pos="7419" w:val="left" w:leader="none"/>
                <w:tab w:pos="9012" w:val="left" w:leader="none"/>
              </w:tabs>
              <w:spacing w:line="247" w:lineRule="exact" w:before="0" w:after="0"/>
              <w:ind w:left="171" w:right="-15" w:hanging="167"/>
              <w:jc w:val="left"/>
              <w:rPr>
                <w:sz w:val="22"/>
              </w:rPr>
            </w:pPr>
            <w:r>
              <w:rPr>
                <w:spacing w:val="-4"/>
                <w:sz w:val="22"/>
              </w:rPr>
              <w:t>Popa</w:t>
            </w:r>
            <w:r>
              <w:rPr>
                <w:sz w:val="22"/>
              </w:rPr>
              <w:tab/>
            </w:r>
            <w:r>
              <w:rPr>
                <w:spacing w:val="-5"/>
                <w:sz w:val="22"/>
              </w:rPr>
              <w:t>M.</w:t>
            </w:r>
            <w:r>
              <w:rPr>
                <w:sz w:val="22"/>
              </w:rPr>
              <w:tab/>
            </w:r>
            <w:r>
              <w:rPr>
                <w:spacing w:val="-2"/>
                <w:sz w:val="22"/>
              </w:rPr>
              <w:t>Realizarea</w:t>
            </w:r>
            <w:r>
              <w:rPr>
                <w:sz w:val="22"/>
              </w:rPr>
              <w:tab/>
            </w:r>
            <w:r>
              <w:rPr>
                <w:spacing w:val="-4"/>
                <w:sz w:val="22"/>
              </w:rPr>
              <w:t>unui</w:t>
            </w:r>
            <w:r>
              <w:rPr>
                <w:sz w:val="22"/>
              </w:rPr>
              <w:tab/>
            </w:r>
            <w:r>
              <w:rPr>
                <w:spacing w:val="-2"/>
                <w:sz w:val="22"/>
              </w:rPr>
              <w:t>proiect</w:t>
            </w:r>
            <w:r>
              <w:rPr>
                <w:sz w:val="22"/>
              </w:rPr>
              <w:tab/>
            </w:r>
            <w:r>
              <w:rPr>
                <w:spacing w:val="-5"/>
                <w:sz w:val="22"/>
              </w:rPr>
              <w:t>de</w:t>
            </w:r>
            <w:r>
              <w:rPr>
                <w:sz w:val="22"/>
              </w:rPr>
              <w:tab/>
            </w:r>
            <w:r>
              <w:rPr>
                <w:spacing w:val="-2"/>
                <w:sz w:val="22"/>
              </w:rPr>
              <w:t>cercetare.</w:t>
            </w:r>
            <w:r>
              <w:rPr>
                <w:sz w:val="22"/>
              </w:rPr>
              <w:tab/>
            </w:r>
            <w:r>
              <w:rPr>
                <w:spacing w:val="-2"/>
                <w:sz w:val="22"/>
              </w:rPr>
              <w:t>2015.</w:t>
            </w:r>
          </w:p>
          <w:p>
            <w:pPr>
              <w:pStyle w:val="TableParagraph"/>
              <w:spacing w:line="251" w:lineRule="exact"/>
              <w:rPr>
                <w:sz w:val="22"/>
              </w:rPr>
            </w:pPr>
            <w:hyperlink r:id="rId5">
              <w:r>
                <w:rPr>
                  <w:color w:val="0000FF"/>
                  <w:spacing w:val="-2"/>
                  <w:sz w:val="22"/>
                  <w:u w:val="single" w:color="0000FF"/>
                </w:rPr>
                <w:t>http://www.apio.ro/upload/mc02_planificarea_unei_cercetari.pdf</w:t>
              </w:r>
            </w:hyperlink>
          </w:p>
          <w:p>
            <w:pPr>
              <w:pStyle w:val="TableParagraph"/>
              <w:numPr>
                <w:ilvl w:val="0"/>
                <w:numId w:val="3"/>
              </w:numPr>
              <w:tabs>
                <w:tab w:pos="282" w:val="left" w:leader="none"/>
              </w:tabs>
              <w:spacing w:line="240" w:lineRule="auto" w:before="1" w:after="0"/>
              <w:ind w:left="282" w:right="0" w:hanging="278"/>
              <w:jc w:val="left"/>
              <w:rPr>
                <w:sz w:val="22"/>
              </w:rPr>
            </w:pPr>
            <w:r>
              <w:rPr>
                <w:sz w:val="22"/>
              </w:rPr>
              <w:t>Rădulescu</w:t>
            </w:r>
            <w:r>
              <w:rPr>
                <w:spacing w:val="-9"/>
                <w:sz w:val="22"/>
              </w:rPr>
              <w:t> </w:t>
            </w:r>
            <w:r>
              <w:rPr>
                <w:sz w:val="22"/>
              </w:rPr>
              <w:t>M.</w:t>
            </w:r>
            <w:r>
              <w:rPr>
                <w:spacing w:val="-4"/>
                <w:sz w:val="22"/>
              </w:rPr>
              <w:t> </w:t>
            </w:r>
            <w:r>
              <w:rPr>
                <w:sz w:val="22"/>
              </w:rPr>
              <w:t>Metodologia</w:t>
            </w:r>
            <w:r>
              <w:rPr>
                <w:spacing w:val="-4"/>
                <w:sz w:val="22"/>
              </w:rPr>
              <w:t> </w:t>
            </w:r>
            <w:r>
              <w:rPr>
                <w:sz w:val="22"/>
              </w:rPr>
              <w:t>cercetării</w:t>
            </w:r>
            <w:r>
              <w:rPr>
                <w:spacing w:val="-10"/>
                <w:sz w:val="22"/>
              </w:rPr>
              <w:t> </w:t>
            </w:r>
            <w:r>
              <w:rPr>
                <w:sz w:val="22"/>
              </w:rPr>
              <w:t>științifice.</w:t>
            </w:r>
            <w:r>
              <w:rPr>
                <w:spacing w:val="-5"/>
                <w:sz w:val="22"/>
              </w:rPr>
              <w:t> </w:t>
            </w:r>
            <w:r>
              <w:rPr>
                <w:sz w:val="22"/>
              </w:rPr>
              <w:t>București:</w:t>
            </w:r>
            <w:r>
              <w:rPr>
                <w:spacing w:val="-10"/>
                <w:sz w:val="22"/>
              </w:rPr>
              <w:t> </w:t>
            </w:r>
            <w:r>
              <w:rPr>
                <w:sz w:val="22"/>
              </w:rPr>
              <w:t>Editura</w:t>
            </w:r>
            <w:r>
              <w:rPr>
                <w:spacing w:val="-4"/>
                <w:sz w:val="22"/>
              </w:rPr>
              <w:t> </w:t>
            </w:r>
            <w:r>
              <w:rPr>
                <w:sz w:val="22"/>
              </w:rPr>
              <w:t>Didactică</w:t>
            </w:r>
            <w:r>
              <w:rPr>
                <w:spacing w:val="-4"/>
                <w:sz w:val="22"/>
              </w:rPr>
              <w:t> </w:t>
            </w:r>
            <w:r>
              <w:rPr>
                <w:sz w:val="22"/>
              </w:rPr>
              <w:t>și</w:t>
            </w:r>
            <w:r>
              <w:rPr>
                <w:spacing w:val="-9"/>
                <w:sz w:val="22"/>
              </w:rPr>
              <w:t> </w:t>
            </w:r>
            <w:r>
              <w:rPr>
                <w:sz w:val="22"/>
              </w:rPr>
              <w:t>pedagogică,</w:t>
            </w:r>
            <w:r>
              <w:rPr>
                <w:spacing w:val="-5"/>
                <w:sz w:val="22"/>
              </w:rPr>
              <w:t> </w:t>
            </w:r>
            <w:r>
              <w:rPr>
                <w:sz w:val="22"/>
              </w:rPr>
              <w:t>2011.</w:t>
            </w:r>
            <w:r>
              <w:rPr>
                <w:spacing w:val="-9"/>
                <w:sz w:val="22"/>
              </w:rPr>
              <w:t> </w:t>
            </w:r>
            <w:r>
              <w:rPr>
                <w:sz w:val="22"/>
              </w:rPr>
              <w:t>224</w:t>
            </w:r>
            <w:r>
              <w:rPr>
                <w:spacing w:val="-1"/>
                <w:sz w:val="22"/>
              </w:rPr>
              <w:t> </w:t>
            </w:r>
            <w:r>
              <w:rPr>
                <w:spacing w:val="-5"/>
                <w:sz w:val="22"/>
              </w:rPr>
              <w:t>p.</w:t>
            </w:r>
          </w:p>
          <w:p>
            <w:pPr>
              <w:pStyle w:val="TableParagraph"/>
              <w:numPr>
                <w:ilvl w:val="0"/>
                <w:numId w:val="3"/>
              </w:numPr>
              <w:tabs>
                <w:tab w:pos="282" w:val="left" w:leader="none"/>
                <w:tab w:pos="9012" w:val="left" w:leader="none"/>
              </w:tabs>
              <w:spacing w:line="240" w:lineRule="auto" w:before="2" w:after="0"/>
              <w:ind w:left="282" w:right="0" w:hanging="278"/>
              <w:jc w:val="left"/>
              <w:rPr>
                <w:sz w:val="22"/>
              </w:rPr>
            </w:pPr>
            <w:r>
              <w:rPr>
                <w:sz w:val="22"/>
              </w:rPr>
              <w:t>Șandor</w:t>
            </w:r>
            <w:r>
              <w:rPr>
                <w:spacing w:val="42"/>
                <w:sz w:val="22"/>
              </w:rPr>
              <w:t>  </w:t>
            </w:r>
            <w:r>
              <w:rPr>
                <w:sz w:val="22"/>
              </w:rPr>
              <w:t>S-D.</w:t>
            </w:r>
            <w:r>
              <w:rPr>
                <w:spacing w:val="41"/>
                <w:sz w:val="22"/>
              </w:rPr>
              <w:t>  </w:t>
            </w:r>
            <w:r>
              <w:rPr>
                <w:sz w:val="22"/>
              </w:rPr>
              <w:t>Metode</w:t>
            </w:r>
            <w:r>
              <w:rPr>
                <w:spacing w:val="38"/>
                <w:sz w:val="22"/>
              </w:rPr>
              <w:t>  </w:t>
            </w:r>
            <w:r>
              <w:rPr>
                <w:sz w:val="22"/>
              </w:rPr>
              <w:t>și</w:t>
            </w:r>
            <w:r>
              <w:rPr>
                <w:spacing w:val="39"/>
                <w:sz w:val="22"/>
              </w:rPr>
              <w:t>  </w:t>
            </w:r>
            <w:r>
              <w:rPr>
                <w:sz w:val="22"/>
              </w:rPr>
              <w:t>tehnici</w:t>
            </w:r>
            <w:r>
              <w:rPr>
                <w:spacing w:val="42"/>
                <w:sz w:val="22"/>
              </w:rPr>
              <w:t>  </w:t>
            </w:r>
            <w:r>
              <w:rPr>
                <w:sz w:val="22"/>
              </w:rPr>
              <w:t>de</w:t>
            </w:r>
            <w:r>
              <w:rPr>
                <w:spacing w:val="38"/>
                <w:sz w:val="22"/>
              </w:rPr>
              <w:t>  </w:t>
            </w:r>
            <w:r>
              <w:rPr>
                <w:sz w:val="22"/>
              </w:rPr>
              <w:t>cercetare</w:t>
            </w:r>
            <w:r>
              <w:rPr>
                <w:spacing w:val="41"/>
                <w:sz w:val="22"/>
              </w:rPr>
              <w:t>  </w:t>
            </w:r>
            <w:r>
              <w:rPr>
                <w:sz w:val="22"/>
              </w:rPr>
              <w:t>în</w:t>
            </w:r>
            <w:r>
              <w:rPr>
                <w:spacing w:val="39"/>
                <w:sz w:val="22"/>
              </w:rPr>
              <w:t>  </w:t>
            </w:r>
            <w:r>
              <w:rPr>
                <w:sz w:val="22"/>
              </w:rPr>
              <w:t>științele</w:t>
            </w:r>
            <w:r>
              <w:rPr>
                <w:spacing w:val="38"/>
                <w:sz w:val="22"/>
              </w:rPr>
              <w:t>  </w:t>
            </w:r>
            <w:r>
              <w:rPr>
                <w:sz w:val="22"/>
              </w:rPr>
              <w:t>sociale.</w:t>
            </w:r>
            <w:r>
              <w:rPr>
                <w:spacing w:val="42"/>
                <w:sz w:val="22"/>
              </w:rPr>
              <w:t>  </w:t>
            </w:r>
            <w:r>
              <w:rPr>
                <w:sz w:val="22"/>
              </w:rPr>
              <w:t>Suport</w:t>
            </w:r>
            <w:r>
              <w:rPr>
                <w:spacing w:val="42"/>
                <w:sz w:val="22"/>
              </w:rPr>
              <w:t>  </w:t>
            </w:r>
            <w:r>
              <w:rPr>
                <w:sz w:val="22"/>
              </w:rPr>
              <w:t>de</w:t>
            </w:r>
            <w:r>
              <w:rPr>
                <w:spacing w:val="38"/>
                <w:sz w:val="22"/>
              </w:rPr>
              <w:t>  </w:t>
            </w:r>
            <w:r>
              <w:rPr>
                <w:spacing w:val="-2"/>
                <w:sz w:val="22"/>
              </w:rPr>
              <w:t>curs,</w:t>
            </w:r>
            <w:r>
              <w:rPr>
                <w:sz w:val="22"/>
              </w:rPr>
              <w:tab/>
            </w:r>
            <w:r>
              <w:rPr>
                <w:spacing w:val="-2"/>
                <w:sz w:val="22"/>
              </w:rPr>
              <w:t>2011.</w:t>
            </w:r>
          </w:p>
          <w:p>
            <w:pPr>
              <w:pStyle w:val="TableParagraph"/>
              <w:spacing w:line="251" w:lineRule="exact" w:before="1"/>
              <w:rPr>
                <w:sz w:val="22"/>
              </w:rPr>
            </w:pPr>
            <w:hyperlink r:id="rId6">
              <w:r>
                <w:rPr>
                  <w:color w:val="0000FF"/>
                  <w:spacing w:val="-2"/>
                  <w:sz w:val="22"/>
                  <w:u w:val="single" w:color="0000FF"/>
                </w:rPr>
                <w:t>http://www.apubb.ro/wp-content/uploads/2011/02/Suport-MTCS-Ro.pdf</w:t>
              </w:r>
            </w:hyperlink>
          </w:p>
          <w:p>
            <w:pPr>
              <w:pStyle w:val="TableParagraph"/>
              <w:numPr>
                <w:ilvl w:val="0"/>
                <w:numId w:val="3"/>
              </w:numPr>
              <w:tabs>
                <w:tab w:pos="277" w:val="left" w:leader="none"/>
              </w:tabs>
              <w:spacing w:line="240" w:lineRule="auto" w:before="0" w:after="0"/>
              <w:ind w:left="4" w:right="0" w:firstLine="0"/>
              <w:jc w:val="left"/>
              <w:rPr>
                <w:sz w:val="22"/>
              </w:rPr>
            </w:pPr>
            <w:r>
              <w:rPr>
                <w:sz w:val="22"/>
              </w:rPr>
              <w:t>Ţapoc</w:t>
            </w:r>
            <w:r>
              <w:rPr>
                <w:spacing w:val="-14"/>
                <w:sz w:val="22"/>
              </w:rPr>
              <w:t> </w:t>
            </w:r>
            <w:r>
              <w:rPr>
                <w:sz w:val="22"/>
              </w:rPr>
              <w:t>V.</w:t>
            </w:r>
            <w:r>
              <w:rPr>
                <w:spacing w:val="-14"/>
                <w:sz w:val="22"/>
              </w:rPr>
              <w:t> </w:t>
            </w:r>
            <w:r>
              <w:rPr>
                <w:sz w:val="22"/>
              </w:rPr>
              <w:t>Teoria</w:t>
            </w:r>
            <w:r>
              <w:rPr>
                <w:spacing w:val="-12"/>
                <w:sz w:val="22"/>
              </w:rPr>
              <w:t> </w:t>
            </w:r>
            <w:r>
              <w:rPr>
                <w:sz w:val="22"/>
              </w:rPr>
              <w:t>ţi</w:t>
            </w:r>
            <w:r>
              <w:rPr>
                <w:spacing w:val="-14"/>
                <w:sz w:val="22"/>
              </w:rPr>
              <w:t> </w:t>
            </w:r>
            <w:r>
              <w:rPr>
                <w:sz w:val="22"/>
              </w:rPr>
              <w:t>metodologia</w:t>
            </w:r>
            <w:r>
              <w:rPr>
                <w:spacing w:val="-8"/>
                <w:sz w:val="22"/>
              </w:rPr>
              <w:t> </w:t>
            </w:r>
            <w:r>
              <w:rPr>
                <w:sz w:val="22"/>
              </w:rPr>
              <w:t>ştiinţei</w:t>
            </w:r>
            <w:r>
              <w:rPr>
                <w:spacing w:val="-14"/>
                <w:sz w:val="22"/>
              </w:rPr>
              <w:t> </w:t>
            </w:r>
            <w:r>
              <w:rPr>
                <w:sz w:val="22"/>
              </w:rPr>
              <w:t>contemporane:</w:t>
            </w:r>
            <w:r>
              <w:rPr>
                <w:spacing w:val="-14"/>
                <w:sz w:val="22"/>
              </w:rPr>
              <w:t> </w:t>
            </w:r>
            <w:r>
              <w:rPr>
                <w:sz w:val="22"/>
              </w:rPr>
              <w:t>concepte</w:t>
            </w:r>
            <w:r>
              <w:rPr>
                <w:spacing w:val="-14"/>
                <w:sz w:val="22"/>
              </w:rPr>
              <w:t> </w:t>
            </w:r>
            <w:r>
              <w:rPr>
                <w:sz w:val="22"/>
              </w:rPr>
              <w:t>şi</w:t>
            </w:r>
            <w:r>
              <w:rPr>
                <w:spacing w:val="-14"/>
                <w:sz w:val="22"/>
              </w:rPr>
              <w:t> </w:t>
            </w:r>
            <w:r>
              <w:rPr>
                <w:sz w:val="22"/>
              </w:rPr>
              <w:t>inerpretări.</w:t>
            </w:r>
            <w:r>
              <w:rPr>
                <w:spacing w:val="-8"/>
                <w:sz w:val="22"/>
              </w:rPr>
              <w:t> </w:t>
            </w:r>
            <w:r>
              <w:rPr>
                <w:sz w:val="22"/>
              </w:rPr>
              <w:t>Chişinău,</w:t>
            </w:r>
            <w:r>
              <w:rPr>
                <w:spacing w:val="-14"/>
                <w:sz w:val="22"/>
              </w:rPr>
              <w:t> </w:t>
            </w:r>
            <w:r>
              <w:rPr>
                <w:sz w:val="22"/>
              </w:rPr>
              <w:t>CEP</w:t>
            </w:r>
            <w:r>
              <w:rPr>
                <w:spacing w:val="-10"/>
                <w:sz w:val="22"/>
              </w:rPr>
              <w:t> </w:t>
            </w:r>
            <w:r>
              <w:rPr>
                <w:sz w:val="22"/>
              </w:rPr>
              <w:t>USM,</w:t>
            </w:r>
            <w:r>
              <w:rPr>
                <w:spacing w:val="-9"/>
                <w:sz w:val="22"/>
              </w:rPr>
              <w:t> </w:t>
            </w:r>
            <w:r>
              <w:rPr>
                <w:sz w:val="22"/>
              </w:rPr>
              <w:t>2005. 212 p.</w:t>
            </w:r>
          </w:p>
          <w:p>
            <w:pPr>
              <w:pStyle w:val="TableParagraph"/>
              <w:numPr>
                <w:ilvl w:val="0"/>
                <w:numId w:val="3"/>
              </w:numPr>
              <w:tabs>
                <w:tab w:pos="282" w:val="left" w:leader="none"/>
              </w:tabs>
              <w:spacing w:line="237" w:lineRule="auto" w:before="3" w:after="0"/>
              <w:ind w:left="4" w:right="4" w:firstLine="0"/>
              <w:jc w:val="left"/>
              <w:rPr>
                <w:sz w:val="22"/>
              </w:rPr>
            </w:pPr>
            <w:r>
              <w:rPr>
                <w:sz w:val="22"/>
              </w:rPr>
              <w:t>Vasilescu</w:t>
            </w:r>
            <w:r>
              <w:rPr>
                <w:spacing w:val="80"/>
                <w:sz w:val="22"/>
              </w:rPr>
              <w:t> </w:t>
            </w:r>
            <w:r>
              <w:rPr>
                <w:sz w:val="22"/>
              </w:rPr>
              <w:t>G.</w:t>
            </w:r>
            <w:r>
              <w:rPr>
                <w:spacing w:val="80"/>
                <w:sz w:val="22"/>
              </w:rPr>
              <w:t> </w:t>
            </w:r>
            <w:r>
              <w:rPr>
                <w:sz w:val="22"/>
              </w:rPr>
              <w:t>Studii</w:t>
            </w:r>
            <w:r>
              <w:rPr>
                <w:spacing w:val="80"/>
                <w:sz w:val="22"/>
              </w:rPr>
              <w:t> </w:t>
            </w:r>
            <w:r>
              <w:rPr>
                <w:sz w:val="22"/>
              </w:rPr>
              <w:t>Internaționale</w:t>
            </w:r>
            <w:r>
              <w:rPr>
                <w:spacing w:val="80"/>
                <w:sz w:val="22"/>
              </w:rPr>
              <w:t> </w:t>
            </w:r>
            <w:r>
              <w:rPr>
                <w:sz w:val="22"/>
              </w:rPr>
              <w:t>în</w:t>
            </w:r>
            <w:r>
              <w:rPr>
                <w:spacing w:val="80"/>
                <w:sz w:val="22"/>
              </w:rPr>
              <w:t> </w:t>
            </w:r>
            <w:r>
              <w:rPr>
                <w:sz w:val="22"/>
              </w:rPr>
              <w:t>Republica</w:t>
            </w:r>
            <w:r>
              <w:rPr>
                <w:spacing w:val="80"/>
                <w:sz w:val="22"/>
              </w:rPr>
              <w:t> </w:t>
            </w:r>
            <w:r>
              <w:rPr>
                <w:sz w:val="22"/>
              </w:rPr>
              <w:t>Moldova:</w:t>
            </w:r>
            <w:r>
              <w:rPr>
                <w:spacing w:val="80"/>
                <w:sz w:val="22"/>
              </w:rPr>
              <w:t> </w:t>
            </w:r>
            <w:r>
              <w:rPr>
                <w:sz w:val="22"/>
              </w:rPr>
              <w:t>experiența</w:t>
            </w:r>
            <w:r>
              <w:rPr>
                <w:spacing w:val="80"/>
                <w:sz w:val="22"/>
              </w:rPr>
              <w:t> </w:t>
            </w:r>
            <w:r>
              <w:rPr>
                <w:sz w:val="22"/>
              </w:rPr>
              <w:t>specializărilor.</w:t>
            </w:r>
            <w:r>
              <w:rPr>
                <w:spacing w:val="80"/>
                <w:sz w:val="22"/>
              </w:rPr>
              <w:t> </w:t>
            </w:r>
            <w:r>
              <w:rPr>
                <w:sz w:val="22"/>
              </w:rPr>
              <w:t>În:</w:t>
            </w:r>
            <w:r>
              <w:rPr>
                <w:spacing w:val="80"/>
                <w:sz w:val="22"/>
              </w:rPr>
              <w:t> </w:t>
            </w:r>
            <w:r>
              <w:rPr>
                <w:sz w:val="22"/>
              </w:rPr>
              <w:t>Studii internaţionale. Viziuni din Moldova. Vol.2, nr.1. Chișinău: CEP USM, 2007, p. 9-14.</w:t>
            </w:r>
          </w:p>
          <w:p>
            <w:pPr>
              <w:pStyle w:val="TableParagraph"/>
              <w:numPr>
                <w:ilvl w:val="0"/>
                <w:numId w:val="3"/>
              </w:numPr>
              <w:tabs>
                <w:tab w:pos="282" w:val="left" w:leader="none"/>
                <w:tab w:pos="1510" w:val="left" w:leader="none"/>
                <w:tab w:pos="2024" w:val="left" w:leader="none"/>
                <w:tab w:pos="3357" w:val="left" w:leader="none"/>
                <w:tab w:pos="3851" w:val="left" w:leader="none"/>
                <w:tab w:pos="5276" w:val="left" w:leader="none"/>
                <w:tab w:pos="6408" w:val="left" w:leader="none"/>
                <w:tab w:pos="7785" w:val="left" w:leader="none"/>
                <w:tab w:pos="9003" w:val="left" w:leader="none"/>
              </w:tabs>
              <w:spacing w:line="240" w:lineRule="auto" w:before="2" w:after="0"/>
              <w:ind w:left="282" w:right="0" w:hanging="278"/>
              <w:jc w:val="left"/>
              <w:rPr>
                <w:sz w:val="22"/>
              </w:rPr>
            </w:pPr>
            <w:r>
              <w:rPr>
                <w:spacing w:val="-2"/>
                <w:sz w:val="22"/>
              </w:rPr>
              <w:t>Vlăsceanu</w:t>
            </w:r>
            <w:r>
              <w:rPr>
                <w:sz w:val="22"/>
              </w:rPr>
              <w:tab/>
            </w:r>
            <w:r>
              <w:rPr>
                <w:spacing w:val="-5"/>
                <w:sz w:val="22"/>
              </w:rPr>
              <w:t>L.</w:t>
            </w:r>
            <w:r>
              <w:rPr>
                <w:sz w:val="22"/>
              </w:rPr>
              <w:tab/>
            </w:r>
            <w:r>
              <w:rPr>
                <w:spacing w:val="-2"/>
                <w:sz w:val="22"/>
              </w:rPr>
              <w:t>Introducere</w:t>
            </w:r>
            <w:r>
              <w:rPr>
                <w:sz w:val="22"/>
              </w:rPr>
              <w:tab/>
            </w:r>
            <w:r>
              <w:rPr>
                <w:spacing w:val="-5"/>
                <w:sz w:val="22"/>
              </w:rPr>
              <w:t>în</w:t>
            </w:r>
            <w:r>
              <w:rPr>
                <w:sz w:val="22"/>
              </w:rPr>
              <w:tab/>
            </w:r>
            <w:r>
              <w:rPr>
                <w:spacing w:val="-2"/>
                <w:sz w:val="22"/>
              </w:rPr>
              <w:t>metodologia</w:t>
            </w:r>
            <w:r>
              <w:rPr>
                <w:sz w:val="22"/>
              </w:rPr>
              <w:tab/>
            </w:r>
            <w:r>
              <w:rPr>
                <w:spacing w:val="-2"/>
                <w:sz w:val="22"/>
              </w:rPr>
              <w:t>cercetării</w:t>
            </w:r>
            <w:r>
              <w:rPr>
                <w:sz w:val="22"/>
              </w:rPr>
              <w:tab/>
            </w:r>
            <w:r>
              <w:rPr>
                <w:spacing w:val="-2"/>
                <w:sz w:val="22"/>
              </w:rPr>
              <w:t>sociologice.</w:t>
            </w:r>
            <w:r>
              <w:rPr>
                <w:sz w:val="22"/>
              </w:rPr>
              <w:tab/>
            </w:r>
            <w:r>
              <w:rPr>
                <w:spacing w:val="-2"/>
                <w:sz w:val="22"/>
              </w:rPr>
              <w:t>București,</w:t>
            </w:r>
            <w:r>
              <w:rPr>
                <w:sz w:val="22"/>
              </w:rPr>
              <w:tab/>
            </w:r>
            <w:r>
              <w:rPr>
                <w:spacing w:val="-2"/>
                <w:sz w:val="22"/>
              </w:rPr>
              <w:t>2008.</w:t>
            </w:r>
          </w:p>
          <w:p>
            <w:pPr>
              <w:pStyle w:val="TableParagraph"/>
              <w:spacing w:before="1"/>
              <w:rPr>
                <w:sz w:val="22"/>
              </w:rPr>
            </w:pPr>
            <w:hyperlink r:id="rId7">
              <w:r>
                <w:rPr>
                  <w:color w:val="0000FF"/>
                  <w:spacing w:val="-2"/>
                  <w:sz w:val="22"/>
                  <w:u w:val="single" w:color="0000FF"/>
                </w:rPr>
                <w:t>http://cursuri.sas.unibuc.ro/mcs/wp-content/uploads/2011/10/Introducere-in-metodologia-cercetarii-</w:t>
              </w:r>
            </w:hyperlink>
            <w:hyperlink r:id="rId7">
              <w:r>
                <w:rPr>
                  <w:color w:val="0000FF"/>
                  <w:spacing w:val="-2"/>
                  <w:sz w:val="22"/>
                  <w:u w:val="single" w:color="0000FF"/>
                </w:rPr>
                <w:t>sociologice.pdf</w:t>
              </w:r>
            </w:hyperlink>
          </w:p>
          <w:p>
            <w:pPr>
              <w:pStyle w:val="TableParagraph"/>
              <w:numPr>
                <w:ilvl w:val="0"/>
                <w:numId w:val="3"/>
              </w:numPr>
              <w:tabs>
                <w:tab w:pos="282" w:val="left" w:leader="none"/>
              </w:tabs>
              <w:spacing w:line="240" w:lineRule="auto" w:before="0" w:after="0"/>
              <w:ind w:left="4" w:right="2" w:firstLine="0"/>
              <w:jc w:val="both"/>
              <w:rPr>
                <w:sz w:val="22"/>
              </w:rPr>
            </w:pPr>
            <w:r>
              <w:rPr>
                <w:sz w:val="22"/>
              </w:rPr>
              <w:t>Мокий М. С. Методология научных исследований. Москва: Юрайт, 2014. 255 c. </w:t>
            </w:r>
            <w:hyperlink r:id="rId8">
              <w:r>
                <w:rPr>
                  <w:color w:val="0000FF"/>
                  <w:spacing w:val="-2"/>
                  <w:sz w:val="22"/>
                  <w:u w:val="single" w:color="0000FF"/>
                </w:rPr>
                <w:t>http://urss.ru/PDF/add_ru/179247-1.pdf</w:t>
              </w:r>
            </w:hyperlink>
          </w:p>
          <w:p>
            <w:pPr>
              <w:pStyle w:val="TableParagraph"/>
              <w:numPr>
                <w:ilvl w:val="0"/>
                <w:numId w:val="3"/>
              </w:numPr>
              <w:tabs>
                <w:tab w:pos="277" w:val="left" w:leader="none"/>
              </w:tabs>
              <w:spacing w:line="240" w:lineRule="auto" w:before="2" w:after="0"/>
              <w:ind w:left="4" w:right="10" w:firstLine="0"/>
              <w:jc w:val="both"/>
              <w:rPr>
                <w:sz w:val="22"/>
              </w:rPr>
            </w:pPr>
            <w:r>
              <w:rPr>
                <w:sz w:val="22"/>
              </w:rPr>
              <w:t>Teosa V., Moşneaga V. Studii universitare în relaţii internaţionale: unele consideraţii privind aspect teoretice,</w:t>
            </w:r>
            <w:r>
              <w:rPr>
                <w:spacing w:val="-2"/>
                <w:sz w:val="22"/>
              </w:rPr>
              <w:t> </w:t>
            </w:r>
            <w:r>
              <w:rPr>
                <w:sz w:val="22"/>
              </w:rPr>
              <w:t>applicative</w:t>
            </w:r>
            <w:r>
              <w:rPr>
                <w:spacing w:val="-10"/>
                <w:sz w:val="22"/>
              </w:rPr>
              <w:t> </w:t>
            </w:r>
            <w:r>
              <w:rPr>
                <w:sz w:val="22"/>
              </w:rPr>
              <w:t>şi</w:t>
            </w:r>
            <w:r>
              <w:rPr>
                <w:spacing w:val="-7"/>
                <w:sz w:val="22"/>
              </w:rPr>
              <w:t> </w:t>
            </w:r>
            <w:r>
              <w:rPr>
                <w:sz w:val="22"/>
              </w:rPr>
              <w:t>civice.</w:t>
            </w:r>
            <w:r>
              <w:rPr>
                <w:spacing w:val="-2"/>
                <w:sz w:val="22"/>
              </w:rPr>
              <w:t> </w:t>
            </w:r>
            <w:r>
              <w:rPr>
                <w:sz w:val="22"/>
              </w:rPr>
              <w:t>În:</w:t>
            </w:r>
            <w:r>
              <w:rPr>
                <w:spacing w:val="-7"/>
                <w:sz w:val="22"/>
              </w:rPr>
              <w:t> </w:t>
            </w:r>
            <w:r>
              <w:rPr>
                <w:sz w:val="22"/>
              </w:rPr>
              <w:t>Studii</w:t>
            </w:r>
            <w:r>
              <w:rPr>
                <w:spacing w:val="-7"/>
                <w:sz w:val="22"/>
              </w:rPr>
              <w:t> </w:t>
            </w:r>
            <w:r>
              <w:rPr>
                <w:sz w:val="22"/>
              </w:rPr>
              <w:t>internaţionale. Viziuni</w:t>
            </w:r>
            <w:r>
              <w:rPr>
                <w:spacing w:val="-2"/>
                <w:sz w:val="22"/>
              </w:rPr>
              <w:t> </w:t>
            </w:r>
            <w:r>
              <w:rPr>
                <w:sz w:val="22"/>
              </w:rPr>
              <w:t>din</w:t>
            </w:r>
            <w:r>
              <w:rPr>
                <w:spacing w:val="-8"/>
                <w:sz w:val="22"/>
              </w:rPr>
              <w:t> </w:t>
            </w:r>
            <w:r>
              <w:rPr>
                <w:sz w:val="22"/>
              </w:rPr>
              <w:t>Moldova.</w:t>
            </w:r>
            <w:r>
              <w:rPr>
                <w:spacing w:val="-2"/>
                <w:sz w:val="22"/>
              </w:rPr>
              <w:t> </w:t>
            </w:r>
            <w:r>
              <w:rPr>
                <w:sz w:val="22"/>
              </w:rPr>
              <w:t>USM,</w:t>
            </w:r>
            <w:r>
              <w:rPr>
                <w:spacing w:val="-1"/>
                <w:sz w:val="22"/>
              </w:rPr>
              <w:t> </w:t>
            </w:r>
            <w:r>
              <w:rPr>
                <w:sz w:val="22"/>
              </w:rPr>
              <w:t>col.</w:t>
            </w:r>
            <w:r>
              <w:rPr>
                <w:spacing w:val="-2"/>
                <w:sz w:val="22"/>
              </w:rPr>
              <w:t> </w:t>
            </w:r>
            <w:r>
              <w:rPr>
                <w:sz w:val="22"/>
              </w:rPr>
              <w:t>Red.</w:t>
            </w:r>
            <w:r>
              <w:rPr>
                <w:spacing w:val="-2"/>
                <w:sz w:val="22"/>
              </w:rPr>
              <w:t> </w:t>
            </w:r>
            <w:r>
              <w:rPr>
                <w:sz w:val="22"/>
              </w:rPr>
              <w:t>V.Teosa,</w:t>
            </w:r>
            <w:r>
              <w:rPr>
                <w:spacing w:val="-2"/>
                <w:sz w:val="22"/>
              </w:rPr>
              <w:t> </w:t>
            </w:r>
            <w:r>
              <w:rPr>
                <w:sz w:val="22"/>
              </w:rPr>
              <w:t>vol. VII., nr. 2-3, Chișinău: CEP USM, 2008, p. 14-27.</w:t>
            </w:r>
          </w:p>
          <w:p>
            <w:pPr>
              <w:pStyle w:val="TableParagraph"/>
              <w:numPr>
                <w:ilvl w:val="0"/>
                <w:numId w:val="3"/>
              </w:numPr>
              <w:tabs>
                <w:tab w:pos="282" w:val="left" w:leader="none"/>
              </w:tabs>
              <w:spacing w:line="237" w:lineRule="auto" w:before="1" w:after="0"/>
              <w:ind w:left="4" w:right="-15" w:firstLine="0"/>
              <w:jc w:val="both"/>
              <w:rPr>
                <w:sz w:val="22"/>
              </w:rPr>
            </w:pPr>
            <w:r>
              <w:rPr>
                <w:sz w:val="22"/>
              </w:rPr>
              <w:t>Vlada</w:t>
            </w:r>
            <w:r>
              <w:rPr>
                <w:spacing w:val="-7"/>
                <w:sz w:val="22"/>
              </w:rPr>
              <w:t> </w:t>
            </w:r>
            <w:r>
              <w:rPr>
                <w:sz w:val="22"/>
              </w:rPr>
              <w:t>M.</w:t>
            </w:r>
            <w:r>
              <w:rPr>
                <w:spacing w:val="-12"/>
                <w:sz w:val="22"/>
              </w:rPr>
              <w:t> </w:t>
            </w:r>
            <w:r>
              <w:rPr>
                <w:sz w:val="22"/>
              </w:rPr>
              <w:t>Metodologia</w:t>
            </w:r>
            <w:r>
              <w:rPr>
                <w:spacing w:val="-7"/>
                <w:sz w:val="22"/>
              </w:rPr>
              <w:t> </w:t>
            </w:r>
            <w:r>
              <w:rPr>
                <w:sz w:val="22"/>
              </w:rPr>
              <w:t>conceperii,</w:t>
            </w:r>
            <w:r>
              <w:rPr>
                <w:spacing w:val="-8"/>
                <w:sz w:val="22"/>
              </w:rPr>
              <w:t> </w:t>
            </w:r>
            <w:r>
              <w:rPr>
                <w:sz w:val="22"/>
              </w:rPr>
              <w:t>elaborării</w:t>
            </w:r>
            <w:r>
              <w:rPr>
                <w:spacing w:val="-12"/>
                <w:sz w:val="22"/>
              </w:rPr>
              <w:t> </w:t>
            </w:r>
            <w:r>
              <w:rPr>
                <w:sz w:val="22"/>
              </w:rPr>
              <w:t>şi</w:t>
            </w:r>
            <w:r>
              <w:rPr>
                <w:spacing w:val="-13"/>
                <w:sz w:val="22"/>
              </w:rPr>
              <w:t> </w:t>
            </w:r>
            <w:r>
              <w:rPr>
                <w:sz w:val="22"/>
              </w:rPr>
              <w:t>redactării</w:t>
            </w:r>
            <w:r>
              <w:rPr>
                <w:spacing w:val="-12"/>
                <w:sz w:val="22"/>
              </w:rPr>
              <w:t> </w:t>
            </w:r>
            <w:r>
              <w:rPr>
                <w:sz w:val="22"/>
              </w:rPr>
              <w:t>lucrărilor</w:t>
            </w:r>
            <w:r>
              <w:rPr>
                <w:spacing w:val="-7"/>
                <w:sz w:val="22"/>
              </w:rPr>
              <w:t> </w:t>
            </w:r>
            <w:r>
              <w:rPr>
                <w:sz w:val="22"/>
              </w:rPr>
              <w:t>ştiinţifice.</w:t>
            </w:r>
            <w:r>
              <w:rPr>
                <w:spacing w:val="-2"/>
                <w:sz w:val="22"/>
              </w:rPr>
              <w:t> </w:t>
            </w:r>
            <w:r>
              <w:rPr>
                <w:sz w:val="22"/>
              </w:rPr>
              <w:t>Universitatea</w:t>
            </w:r>
            <w:r>
              <w:rPr>
                <w:spacing w:val="-7"/>
                <w:sz w:val="22"/>
              </w:rPr>
              <w:t> </w:t>
            </w:r>
            <w:r>
              <w:rPr>
                <w:sz w:val="22"/>
              </w:rPr>
              <w:t>din</w:t>
            </w:r>
            <w:r>
              <w:rPr>
                <w:spacing w:val="-14"/>
                <w:sz w:val="22"/>
              </w:rPr>
              <w:t> </w:t>
            </w:r>
            <w:r>
              <w:rPr>
                <w:sz w:val="22"/>
              </w:rPr>
              <w:t>Bucureşti şi</w:t>
            </w:r>
            <w:r>
              <w:rPr>
                <w:spacing w:val="-11"/>
                <w:sz w:val="22"/>
              </w:rPr>
              <w:t> </w:t>
            </w:r>
            <w:r>
              <w:rPr>
                <w:sz w:val="22"/>
              </w:rPr>
              <w:t>Universitatea</w:t>
            </w:r>
            <w:r>
              <w:rPr>
                <w:spacing w:val="-10"/>
                <w:sz w:val="22"/>
              </w:rPr>
              <w:t> </w:t>
            </w:r>
            <w:r>
              <w:rPr>
                <w:sz w:val="22"/>
              </w:rPr>
              <w:t>Tehnică</w:t>
            </w:r>
            <w:r>
              <w:rPr>
                <w:spacing w:val="-5"/>
                <w:sz w:val="22"/>
              </w:rPr>
              <w:t> </w:t>
            </w:r>
            <w:r>
              <w:rPr>
                <w:sz w:val="22"/>
              </w:rPr>
              <w:t>“Gh.</w:t>
            </w:r>
            <w:r>
              <w:rPr>
                <w:spacing w:val="-10"/>
                <w:sz w:val="22"/>
              </w:rPr>
              <w:t> </w:t>
            </w:r>
            <w:r>
              <w:rPr>
                <w:sz w:val="22"/>
              </w:rPr>
              <w:t>Asachi”</w:t>
            </w:r>
            <w:r>
              <w:rPr>
                <w:spacing w:val="-10"/>
                <w:sz w:val="22"/>
              </w:rPr>
              <w:t> </w:t>
            </w:r>
            <w:r>
              <w:rPr>
                <w:sz w:val="22"/>
              </w:rPr>
              <w:t>Iaşi,</w:t>
            </w:r>
            <w:r>
              <w:rPr>
                <w:spacing w:val="-6"/>
                <w:sz w:val="22"/>
              </w:rPr>
              <w:t> </w:t>
            </w:r>
            <w:r>
              <w:rPr>
                <w:sz w:val="22"/>
              </w:rPr>
              <w:t>Conferinţa</w:t>
            </w:r>
            <w:r>
              <w:rPr>
                <w:spacing w:val="-10"/>
                <w:sz w:val="22"/>
              </w:rPr>
              <w:t> </w:t>
            </w:r>
            <w:r>
              <w:rPr>
                <w:sz w:val="22"/>
              </w:rPr>
              <w:t>Naţională</w:t>
            </w:r>
            <w:r>
              <w:rPr>
                <w:spacing w:val="-5"/>
                <w:sz w:val="22"/>
              </w:rPr>
              <w:t> </w:t>
            </w:r>
            <w:r>
              <w:rPr>
                <w:sz w:val="22"/>
              </w:rPr>
              <w:t>de</w:t>
            </w:r>
            <w:r>
              <w:rPr>
                <w:spacing w:val="-14"/>
                <w:sz w:val="22"/>
              </w:rPr>
              <w:t> </w:t>
            </w:r>
            <w:r>
              <w:rPr>
                <w:sz w:val="22"/>
              </w:rPr>
              <w:t>Învăţământ</w:t>
            </w:r>
            <w:r>
              <w:rPr>
                <w:spacing w:val="-7"/>
                <w:sz w:val="22"/>
              </w:rPr>
              <w:t> </w:t>
            </w:r>
            <w:r>
              <w:rPr>
                <w:sz w:val="22"/>
              </w:rPr>
              <w:t>Virtual,</w:t>
            </w:r>
            <w:r>
              <w:rPr>
                <w:spacing w:val="-6"/>
                <w:sz w:val="22"/>
              </w:rPr>
              <w:t> </w:t>
            </w:r>
            <w:r>
              <w:rPr>
                <w:sz w:val="22"/>
              </w:rPr>
              <w:t>ediţia</w:t>
            </w:r>
            <w:r>
              <w:rPr>
                <w:spacing w:val="-5"/>
                <w:sz w:val="22"/>
              </w:rPr>
              <w:t> </w:t>
            </w:r>
            <w:r>
              <w:rPr>
                <w:sz w:val="22"/>
              </w:rPr>
              <w:t>a</w:t>
            </w:r>
            <w:r>
              <w:rPr>
                <w:spacing w:val="-10"/>
                <w:sz w:val="22"/>
              </w:rPr>
              <w:t> </w:t>
            </w:r>
            <w:r>
              <w:rPr>
                <w:sz w:val="22"/>
              </w:rPr>
              <w:t>VII-a,</w:t>
            </w:r>
            <w:r>
              <w:rPr>
                <w:spacing w:val="-6"/>
                <w:sz w:val="22"/>
              </w:rPr>
              <w:t> </w:t>
            </w:r>
            <w:r>
              <w:rPr>
                <w:sz w:val="22"/>
              </w:rPr>
              <w:t>2009.</w:t>
            </w:r>
          </w:p>
          <w:p>
            <w:pPr>
              <w:pStyle w:val="TableParagraph"/>
              <w:spacing w:line="238" w:lineRule="exact" w:before="1"/>
              <w:rPr>
                <w:sz w:val="22"/>
              </w:rPr>
            </w:pPr>
            <w:hyperlink r:id="rId9">
              <w:r>
                <w:rPr>
                  <w:color w:val="0000FF"/>
                  <w:spacing w:val="-2"/>
                  <w:sz w:val="22"/>
                  <w:u w:val="single" w:color="0000FF"/>
                </w:rPr>
                <w:t>http://www.unibuc.ro/prof/vlada_m/docs/res/2011maisectiuneaA_lucrarea04-CNIV2009.pdf</w:t>
              </w:r>
            </w:hyperlink>
          </w:p>
        </w:tc>
      </w:tr>
    </w:tbl>
    <w:sectPr>
      <w:type w:val="continuous"/>
      <w:pgSz w:w="11910" w:h="16840"/>
      <w:pgMar w:top="440" w:bottom="280" w:left="566"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9"/>
      <w:numFmt w:val="decimal"/>
      <w:lvlText w:val="%1."/>
      <w:lvlJc w:val="left"/>
      <w:pPr>
        <w:ind w:left="172" w:hanging="169"/>
        <w:jc w:val="left"/>
      </w:pPr>
      <w:rPr>
        <w:rFonts w:hint="default" w:ascii="Times New Roman" w:hAnsi="Times New Roman" w:eastAsia="Times New Roman" w:cs="Times New Roman"/>
        <w:b w:val="0"/>
        <w:bCs w:val="0"/>
        <w:i w:val="0"/>
        <w:iCs w:val="0"/>
        <w:spacing w:val="0"/>
        <w:w w:val="98"/>
        <w:sz w:val="20"/>
        <w:szCs w:val="20"/>
        <w:lang w:val="ro-RO" w:eastAsia="en-US" w:bidi="ar-SA"/>
      </w:rPr>
    </w:lvl>
    <w:lvl w:ilvl="1">
      <w:start w:val="0"/>
      <w:numFmt w:val="bullet"/>
      <w:lvlText w:val="•"/>
      <w:lvlJc w:val="left"/>
      <w:pPr>
        <w:ind w:left="1112" w:hanging="169"/>
      </w:pPr>
      <w:rPr>
        <w:rFonts w:hint="default"/>
        <w:lang w:val="ro-RO" w:eastAsia="en-US" w:bidi="ar-SA"/>
      </w:rPr>
    </w:lvl>
    <w:lvl w:ilvl="2">
      <w:start w:val="0"/>
      <w:numFmt w:val="bullet"/>
      <w:lvlText w:val="•"/>
      <w:lvlJc w:val="left"/>
      <w:pPr>
        <w:ind w:left="2045" w:hanging="169"/>
      </w:pPr>
      <w:rPr>
        <w:rFonts w:hint="default"/>
        <w:lang w:val="ro-RO" w:eastAsia="en-US" w:bidi="ar-SA"/>
      </w:rPr>
    </w:lvl>
    <w:lvl w:ilvl="3">
      <w:start w:val="0"/>
      <w:numFmt w:val="bullet"/>
      <w:lvlText w:val="•"/>
      <w:lvlJc w:val="left"/>
      <w:pPr>
        <w:ind w:left="2978" w:hanging="169"/>
      </w:pPr>
      <w:rPr>
        <w:rFonts w:hint="default"/>
        <w:lang w:val="ro-RO" w:eastAsia="en-US" w:bidi="ar-SA"/>
      </w:rPr>
    </w:lvl>
    <w:lvl w:ilvl="4">
      <w:start w:val="0"/>
      <w:numFmt w:val="bullet"/>
      <w:lvlText w:val="•"/>
      <w:lvlJc w:val="left"/>
      <w:pPr>
        <w:ind w:left="3911" w:hanging="169"/>
      </w:pPr>
      <w:rPr>
        <w:rFonts w:hint="default"/>
        <w:lang w:val="ro-RO" w:eastAsia="en-US" w:bidi="ar-SA"/>
      </w:rPr>
    </w:lvl>
    <w:lvl w:ilvl="5">
      <w:start w:val="0"/>
      <w:numFmt w:val="bullet"/>
      <w:lvlText w:val="•"/>
      <w:lvlJc w:val="left"/>
      <w:pPr>
        <w:ind w:left="4844" w:hanging="169"/>
      </w:pPr>
      <w:rPr>
        <w:rFonts w:hint="default"/>
        <w:lang w:val="ro-RO" w:eastAsia="en-US" w:bidi="ar-SA"/>
      </w:rPr>
    </w:lvl>
    <w:lvl w:ilvl="6">
      <w:start w:val="0"/>
      <w:numFmt w:val="bullet"/>
      <w:lvlText w:val="•"/>
      <w:lvlJc w:val="left"/>
      <w:pPr>
        <w:ind w:left="5776" w:hanging="169"/>
      </w:pPr>
      <w:rPr>
        <w:rFonts w:hint="default"/>
        <w:lang w:val="ro-RO" w:eastAsia="en-US" w:bidi="ar-SA"/>
      </w:rPr>
    </w:lvl>
    <w:lvl w:ilvl="7">
      <w:start w:val="0"/>
      <w:numFmt w:val="bullet"/>
      <w:lvlText w:val="•"/>
      <w:lvlJc w:val="left"/>
      <w:pPr>
        <w:ind w:left="6709" w:hanging="169"/>
      </w:pPr>
      <w:rPr>
        <w:rFonts w:hint="default"/>
        <w:lang w:val="ro-RO" w:eastAsia="en-US" w:bidi="ar-SA"/>
      </w:rPr>
    </w:lvl>
    <w:lvl w:ilvl="8">
      <w:start w:val="0"/>
      <w:numFmt w:val="bullet"/>
      <w:lvlText w:val="•"/>
      <w:lvlJc w:val="left"/>
      <w:pPr>
        <w:ind w:left="7642" w:hanging="169"/>
      </w:pPr>
      <w:rPr>
        <w:rFonts w:hint="default"/>
        <w:lang w:val="ro-RO" w:eastAsia="en-US" w:bidi="ar-SA"/>
      </w:rPr>
    </w:lvl>
  </w:abstractNum>
  <w:abstractNum w:abstractNumId="1">
    <w:multiLevelType w:val="hybridMultilevel"/>
    <w:lvl w:ilvl="0">
      <w:start w:val="1"/>
      <w:numFmt w:val="decimal"/>
      <w:lvlText w:val="%1."/>
      <w:lvlJc w:val="left"/>
      <w:pPr>
        <w:ind w:left="4" w:hanging="255"/>
        <w:jc w:val="left"/>
      </w:pPr>
      <w:rPr>
        <w:rFonts w:hint="default" w:ascii="Times New Roman" w:hAnsi="Times New Roman" w:eastAsia="Times New Roman" w:cs="Times New Roman"/>
        <w:b w:val="0"/>
        <w:bCs w:val="0"/>
        <w:i w:val="0"/>
        <w:iCs w:val="0"/>
        <w:spacing w:val="0"/>
        <w:w w:val="86"/>
        <w:sz w:val="22"/>
        <w:szCs w:val="22"/>
        <w:lang w:val="ro-RO" w:eastAsia="en-US" w:bidi="ar-SA"/>
      </w:rPr>
    </w:lvl>
    <w:lvl w:ilvl="1">
      <w:start w:val="0"/>
      <w:numFmt w:val="bullet"/>
      <w:lvlText w:val="•"/>
      <w:lvlJc w:val="left"/>
      <w:pPr>
        <w:ind w:left="950" w:hanging="255"/>
      </w:pPr>
      <w:rPr>
        <w:rFonts w:hint="default"/>
        <w:lang w:val="ro-RO" w:eastAsia="en-US" w:bidi="ar-SA"/>
      </w:rPr>
    </w:lvl>
    <w:lvl w:ilvl="2">
      <w:start w:val="0"/>
      <w:numFmt w:val="bullet"/>
      <w:lvlText w:val="•"/>
      <w:lvlJc w:val="left"/>
      <w:pPr>
        <w:ind w:left="1901" w:hanging="255"/>
      </w:pPr>
      <w:rPr>
        <w:rFonts w:hint="default"/>
        <w:lang w:val="ro-RO" w:eastAsia="en-US" w:bidi="ar-SA"/>
      </w:rPr>
    </w:lvl>
    <w:lvl w:ilvl="3">
      <w:start w:val="0"/>
      <w:numFmt w:val="bullet"/>
      <w:lvlText w:val="•"/>
      <w:lvlJc w:val="left"/>
      <w:pPr>
        <w:ind w:left="2851" w:hanging="255"/>
      </w:pPr>
      <w:rPr>
        <w:rFonts w:hint="default"/>
        <w:lang w:val="ro-RO" w:eastAsia="en-US" w:bidi="ar-SA"/>
      </w:rPr>
    </w:lvl>
    <w:lvl w:ilvl="4">
      <w:start w:val="0"/>
      <w:numFmt w:val="bullet"/>
      <w:lvlText w:val="•"/>
      <w:lvlJc w:val="left"/>
      <w:pPr>
        <w:ind w:left="3802" w:hanging="255"/>
      </w:pPr>
      <w:rPr>
        <w:rFonts w:hint="default"/>
        <w:lang w:val="ro-RO" w:eastAsia="en-US" w:bidi="ar-SA"/>
      </w:rPr>
    </w:lvl>
    <w:lvl w:ilvl="5">
      <w:start w:val="0"/>
      <w:numFmt w:val="bullet"/>
      <w:lvlText w:val="•"/>
      <w:lvlJc w:val="left"/>
      <w:pPr>
        <w:ind w:left="4752" w:hanging="255"/>
      </w:pPr>
      <w:rPr>
        <w:rFonts w:hint="default"/>
        <w:lang w:val="ro-RO" w:eastAsia="en-US" w:bidi="ar-SA"/>
      </w:rPr>
    </w:lvl>
    <w:lvl w:ilvl="6">
      <w:start w:val="0"/>
      <w:numFmt w:val="bullet"/>
      <w:lvlText w:val="•"/>
      <w:lvlJc w:val="left"/>
      <w:pPr>
        <w:ind w:left="5703" w:hanging="255"/>
      </w:pPr>
      <w:rPr>
        <w:rFonts w:hint="default"/>
        <w:lang w:val="ro-RO" w:eastAsia="en-US" w:bidi="ar-SA"/>
      </w:rPr>
    </w:lvl>
    <w:lvl w:ilvl="7">
      <w:start w:val="0"/>
      <w:numFmt w:val="bullet"/>
      <w:lvlText w:val="•"/>
      <w:lvlJc w:val="left"/>
      <w:pPr>
        <w:ind w:left="6653" w:hanging="255"/>
      </w:pPr>
      <w:rPr>
        <w:rFonts w:hint="default"/>
        <w:lang w:val="ro-RO" w:eastAsia="en-US" w:bidi="ar-SA"/>
      </w:rPr>
    </w:lvl>
    <w:lvl w:ilvl="8">
      <w:start w:val="0"/>
      <w:numFmt w:val="bullet"/>
      <w:lvlText w:val="•"/>
      <w:lvlJc w:val="left"/>
      <w:pPr>
        <w:ind w:left="7604" w:hanging="255"/>
      </w:pPr>
      <w:rPr>
        <w:rFonts w:hint="default"/>
        <w:lang w:val="ro-RO" w:eastAsia="en-US" w:bidi="ar-SA"/>
      </w:rPr>
    </w:lvl>
  </w:abstractNum>
  <w:abstractNum w:abstractNumId="0">
    <w:multiLevelType w:val="hybridMultilevel"/>
    <w:lvl w:ilvl="0">
      <w:start w:val="1"/>
      <w:numFmt w:val="decimal"/>
      <w:lvlText w:val="%1."/>
      <w:lvlJc w:val="left"/>
      <w:pPr>
        <w:ind w:left="441" w:hanging="207"/>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346" w:hanging="207"/>
      </w:pPr>
      <w:rPr>
        <w:rFonts w:hint="default"/>
        <w:lang w:val="ro-RO" w:eastAsia="en-US" w:bidi="ar-SA"/>
      </w:rPr>
    </w:lvl>
    <w:lvl w:ilvl="2">
      <w:start w:val="0"/>
      <w:numFmt w:val="bullet"/>
      <w:lvlText w:val="•"/>
      <w:lvlJc w:val="left"/>
      <w:pPr>
        <w:ind w:left="2253" w:hanging="207"/>
      </w:pPr>
      <w:rPr>
        <w:rFonts w:hint="default"/>
        <w:lang w:val="ro-RO" w:eastAsia="en-US" w:bidi="ar-SA"/>
      </w:rPr>
    </w:lvl>
    <w:lvl w:ilvl="3">
      <w:start w:val="0"/>
      <w:numFmt w:val="bullet"/>
      <w:lvlText w:val="•"/>
      <w:lvlJc w:val="left"/>
      <w:pPr>
        <w:ind w:left="3159" w:hanging="207"/>
      </w:pPr>
      <w:rPr>
        <w:rFonts w:hint="default"/>
        <w:lang w:val="ro-RO" w:eastAsia="en-US" w:bidi="ar-SA"/>
      </w:rPr>
    </w:lvl>
    <w:lvl w:ilvl="4">
      <w:start w:val="0"/>
      <w:numFmt w:val="bullet"/>
      <w:lvlText w:val="•"/>
      <w:lvlJc w:val="left"/>
      <w:pPr>
        <w:ind w:left="4066" w:hanging="207"/>
      </w:pPr>
      <w:rPr>
        <w:rFonts w:hint="default"/>
        <w:lang w:val="ro-RO" w:eastAsia="en-US" w:bidi="ar-SA"/>
      </w:rPr>
    </w:lvl>
    <w:lvl w:ilvl="5">
      <w:start w:val="0"/>
      <w:numFmt w:val="bullet"/>
      <w:lvlText w:val="•"/>
      <w:lvlJc w:val="left"/>
      <w:pPr>
        <w:ind w:left="4972" w:hanging="207"/>
      </w:pPr>
      <w:rPr>
        <w:rFonts w:hint="default"/>
        <w:lang w:val="ro-RO" w:eastAsia="en-US" w:bidi="ar-SA"/>
      </w:rPr>
    </w:lvl>
    <w:lvl w:ilvl="6">
      <w:start w:val="0"/>
      <w:numFmt w:val="bullet"/>
      <w:lvlText w:val="•"/>
      <w:lvlJc w:val="left"/>
      <w:pPr>
        <w:ind w:left="5879" w:hanging="207"/>
      </w:pPr>
      <w:rPr>
        <w:rFonts w:hint="default"/>
        <w:lang w:val="ro-RO" w:eastAsia="en-US" w:bidi="ar-SA"/>
      </w:rPr>
    </w:lvl>
    <w:lvl w:ilvl="7">
      <w:start w:val="0"/>
      <w:numFmt w:val="bullet"/>
      <w:lvlText w:val="•"/>
      <w:lvlJc w:val="left"/>
      <w:pPr>
        <w:ind w:left="6785" w:hanging="207"/>
      </w:pPr>
      <w:rPr>
        <w:rFonts w:hint="default"/>
        <w:lang w:val="ro-RO" w:eastAsia="en-US" w:bidi="ar-SA"/>
      </w:rPr>
    </w:lvl>
    <w:lvl w:ilvl="8">
      <w:start w:val="0"/>
      <w:numFmt w:val="bullet"/>
      <w:lvlText w:val="•"/>
      <w:lvlJc w:val="left"/>
      <w:pPr>
        <w:ind w:left="7692" w:hanging="207"/>
      </w:pPr>
      <w:rPr>
        <w:rFonts w:hint="default"/>
        <w:lang w:val="ro-RO"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o-RO" w:eastAsia="en-US" w:bidi="ar-SA"/>
    </w:rPr>
  </w:style>
  <w:style w:styleId="BodyText" w:type="paragraph">
    <w:name w:val="Body Text"/>
    <w:basedOn w:val="Normal"/>
    <w:uiPriority w:val="1"/>
    <w:qFormat/>
    <w:pPr>
      <w:spacing w:before="70" w:after="2"/>
      <w:ind w:left="2723" w:right="4634" w:firstLine="744"/>
    </w:pPr>
    <w:rPr>
      <w:rFonts w:ascii="Times New Roman" w:hAnsi="Times New Roman" w:eastAsia="Times New Roman" w:cs="Times New Roman"/>
      <w:b/>
      <w:bCs/>
      <w:sz w:val="22"/>
      <w:szCs w:val="22"/>
      <w:lang w:val="ro-RO" w:eastAsia="en-US" w:bidi="ar-SA"/>
    </w:rPr>
  </w:style>
  <w:style w:styleId="ListParagraph" w:type="paragraph">
    <w:name w:val="List Paragraph"/>
    <w:basedOn w:val="Normal"/>
    <w:uiPriority w:val="1"/>
    <w:qFormat/>
    <w:pPr/>
    <w:rPr>
      <w:lang w:val="ro-RO" w:eastAsia="en-US" w:bidi="ar-SA"/>
    </w:rPr>
  </w:style>
  <w:style w:styleId="TableParagraph" w:type="paragraph">
    <w:name w:val="Table Paragraph"/>
    <w:basedOn w:val="Normal"/>
    <w:uiPriority w:val="1"/>
    <w:qFormat/>
    <w:pPr>
      <w:ind w:left="4"/>
    </w:pPr>
    <w:rPr>
      <w:rFonts w:ascii="Times New Roman" w:hAnsi="Times New Roman" w:eastAsia="Times New Roman" w:cs="Times New Roman"/>
      <w:lang w:val="ro-RO"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apio.ro/upload/mc02_planificarea_unei_cercetari.pdf" TargetMode="External"/><Relationship Id="rId6" Type="http://schemas.openxmlformats.org/officeDocument/2006/relationships/hyperlink" Target="http://www.apubb.ro/wp-content/uploads/2011/02/Suport-MTCS-Ro.pdf" TargetMode="External"/><Relationship Id="rId7" Type="http://schemas.openxmlformats.org/officeDocument/2006/relationships/hyperlink" Target="http://cursuri.sas.unibuc.ro/mcs/wp-content/uploads/2011/10/Introducere-in-metodologia-cercetarii-sociologice.pdf" TargetMode="External"/><Relationship Id="rId8" Type="http://schemas.openxmlformats.org/officeDocument/2006/relationships/hyperlink" Target="http://urss.ru/PDF/add_ru/179247-1.pdf" TargetMode="External"/><Relationship Id="rId9" Type="http://schemas.openxmlformats.org/officeDocument/2006/relationships/hyperlink" Target="http://www.unibuc.ro/prof/vlada_m/docs/res/2011maisectiuneaA_lucrarea04-CNIV2009.pdf"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dcterms:created xsi:type="dcterms:W3CDTF">2026-04-08T14:35:49Z</dcterms:created>
  <dcterms:modified xsi:type="dcterms:W3CDTF">2026-04-08T14:35:49Z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