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5057" w:rsidRDefault="00E15057" w:rsidP="00FD1849">
      <w:pPr>
        <w:pStyle w:val="BodyText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E15057" w:rsidRDefault="00E15057" w:rsidP="00FD1849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E15057" w:rsidRPr="00164AA8" w:rsidRDefault="00E15057" w:rsidP="00FD1849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E15057" w:rsidRPr="00164AA8" w:rsidRDefault="00E15057" w:rsidP="00E15057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11.12.2024</w:t>
      </w: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286"/>
      </w:tblGrid>
      <w:tr w:rsidR="008F66C6" w:rsidTr="00502B4B">
        <w:trPr>
          <w:trHeight w:val="352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8" w:type="dxa"/>
            <w:gridSpan w:val="5"/>
          </w:tcPr>
          <w:p w:rsidR="008F66C6" w:rsidRDefault="00000000">
            <w:pPr>
              <w:pStyle w:val="TableParagraph"/>
              <w:spacing w:line="273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S.01.O.3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Managementul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doctorat</w:t>
            </w:r>
          </w:p>
        </w:tc>
      </w:tr>
      <w:tr w:rsidR="008F66C6" w:rsidTr="00502B4B">
        <w:trPr>
          <w:trHeight w:val="313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8" w:type="dxa"/>
            <w:gridSpan w:val="5"/>
          </w:tcPr>
          <w:p w:rsidR="008F66C6" w:rsidRDefault="00000000" w:rsidP="008A5107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Georgeta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STEPANOV,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dr.hab.,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F66C6" w:rsidTr="00502B4B">
        <w:trPr>
          <w:trHeight w:val="352"/>
        </w:trPr>
        <w:tc>
          <w:tcPr>
            <w:tcW w:w="10729" w:type="dxa"/>
            <w:gridSpan w:val="8"/>
          </w:tcPr>
          <w:p w:rsidR="008F66C6" w:rsidRDefault="00000000" w:rsidP="008A5107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F66C6" w:rsidTr="00502B4B">
        <w:trPr>
          <w:trHeight w:val="251"/>
        </w:trPr>
        <w:tc>
          <w:tcPr>
            <w:tcW w:w="7084" w:type="dxa"/>
            <w:gridSpan w:val="6"/>
          </w:tcPr>
          <w:p w:rsidR="008F66C6" w:rsidRDefault="00000000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F66C6" w:rsidRDefault="00000000">
            <w:pPr>
              <w:pStyle w:val="TableParagraph"/>
              <w:spacing w:before="132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86" w:type="dxa"/>
            <w:vMerge w:val="restart"/>
          </w:tcPr>
          <w:p w:rsidR="008F66C6" w:rsidRDefault="00000000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F66C6" w:rsidTr="00502B4B">
        <w:trPr>
          <w:trHeight w:val="251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5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5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</w:tr>
      <w:tr w:rsidR="008F66C6" w:rsidTr="00502B4B">
        <w:trPr>
          <w:trHeight w:val="268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6" w:type="dxa"/>
          </w:tcPr>
          <w:p w:rsidR="008F66C6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F66C6" w:rsidTr="00502B4B">
        <w:trPr>
          <w:trHeight w:val="2071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Funda- mentare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ind w:right="219"/>
              <w:jc w:val="both"/>
              <w:rPr>
                <w:sz w:val="20"/>
              </w:rPr>
            </w:pPr>
            <w:r>
              <w:rPr>
                <w:sz w:val="20"/>
              </w:rPr>
              <w:t>Scopul disciplinei constă în formarea unei viziuni de ansamblu asupra studiilor de doctorat ca element al instruirii universitare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instruirea studenților-doctoranzi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vederea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formării cunoștințelor privind gestionarea eficientă a activităților de cercetare și a rezultatelor cercetării, privind perfectarea documentației curente și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dosarului de doctorat. Destinaţia disciplinei este să proiecteze cadrul relațional și acțional al studenţilor-doctoranzi pe tot parcursul traseului academic la ciclul III, doctorat și să ofere repere privind gestiunea strategică a cercetării doctorale, formarea competenţelor manageriale și abilităților de gestionare fiind unul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dintre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obiectivele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fundamentale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ei.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disciplinei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sunt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examinate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analizate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actele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normative</w:t>
            </w:r>
          </w:p>
          <w:p w:rsidR="008F66C6" w:rsidRDefault="00000000">
            <w:pPr>
              <w:pStyle w:val="TableParagraph"/>
              <w:spacing w:line="230" w:lineRule="atLeast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naționale și instituționale care legitimează statutul studentului-doctorand, consemnează drepturile și obligațiile acestuia și reglementează acțiunile lui pe tot parcursul studiilor doctorale.</w:t>
            </w:r>
          </w:p>
        </w:tc>
      </w:tr>
      <w:tr w:rsidR="008F66C6" w:rsidTr="00502B4B">
        <w:trPr>
          <w:trHeight w:val="183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6" w:lineRule="auto"/>
              <w:ind w:left="112"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Compe- tenţele obţinute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CP 1. Acumularea unor cunoştinţe avansate în domeniul inițierii și dezvoltării proiectelor inovatoare și practicilor </w:t>
            </w:r>
            <w:r>
              <w:rPr>
                <w:spacing w:val="-2"/>
                <w:sz w:val="20"/>
              </w:rPr>
              <w:t>complexe;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capacității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identificare,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formulare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soluţionare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conexe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managementului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proiectelor de cercetare;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abilităţilor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disemiinare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8F66C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CP 4. Stăpânirea metodelor şi tehnicilor de elaborare a proiectelor de doctorat si de susținere publică a rezultatelor </w:t>
            </w:r>
            <w:r>
              <w:rPr>
                <w:spacing w:val="-2"/>
                <w:sz w:val="20"/>
              </w:rPr>
              <w:t>cercetării.</w:t>
            </w:r>
          </w:p>
        </w:tc>
      </w:tr>
      <w:tr w:rsidR="008F66C6" w:rsidTr="00502B4B">
        <w:trPr>
          <w:trHeight w:val="1073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Conţi- nutul disciplinei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6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Studiile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abordări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conceptuale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Cadrul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legislativ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naționale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Itinerarul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doctoral: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etape,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studii.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Proiectul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publică.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3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Dosarul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doctorat.</w:t>
            </w:r>
          </w:p>
        </w:tc>
      </w:tr>
      <w:tr w:rsidR="008F66C6" w:rsidTr="00502B4B">
        <w:trPr>
          <w:trHeight w:val="784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3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Biblio- grafia</w:t>
            </w:r>
          </w:p>
          <w:p w:rsidR="008F66C6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3"/>
              <w:ind w:right="8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organizarea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studiilor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aprobat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Hotărârea Guvernului nr. 1007 (2014) </w:t>
            </w:r>
            <w:hyperlink r:id="rId5">
              <w:r w:rsidR="008F66C6">
                <w:rPr>
                  <w:color w:val="0000FF"/>
                  <w:sz w:val="20"/>
                  <w:u w:val="single" w:color="0000FF"/>
                </w:rPr>
                <w:t>https://www.legis.md/cautare/getResults?doc_id=115655&amp;lang=ro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7119"/>
              </w:tabs>
              <w:spacing w:before="3"/>
              <w:ind w:right="-15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atribuire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calificativelor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tezelor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(2017)</w:t>
            </w:r>
            <w:r>
              <w:rPr>
                <w:sz w:val="20"/>
              </w:rPr>
              <w:tab/>
            </w:r>
            <w:hyperlink r:id="rId6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https://anacec.md/files/Ordin-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mecc_regulament_calificative.pdf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2268"/>
                <w:tab w:val="left" w:pos="2925"/>
                <w:tab w:val="left" w:pos="4110"/>
                <w:tab w:val="left" w:pos="4712"/>
                <w:tab w:val="left" w:pos="6057"/>
                <w:tab w:val="left" w:pos="6614"/>
                <w:tab w:val="left" w:pos="7746"/>
                <w:tab w:val="left" w:pos="8966"/>
              </w:tabs>
              <w:spacing w:before="5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Metodologiei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conferire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și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confirmare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titlurilor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(2019) </w:t>
            </w:r>
            <w:hyperlink r:id="rId8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https://www.legis.md/cautare/getResults?doc_id=118490&amp;lang=ro</w:t>
              </w:r>
            </w:hyperlink>
          </w:p>
          <w:p w:rsidR="008F66C6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Strategia de dezvoltare a studiilor de doctorat pentru anii 2022-2026. (2022) </w:t>
            </w:r>
            <w:hyperlink r:id="rId9">
              <w:r w:rsidR="008F66C6">
                <w:rPr>
                  <w:color w:val="0000FF"/>
                  <w:sz w:val="20"/>
                  <w:u w:val="single" w:color="0000FF"/>
                </w:rPr>
                <w:t>https://usm.md/wp-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0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content/uploads/3.-Strategia-de-dezvoltare-a-studiilor-de-doctorat-pentru-anii-2022-2026.pdf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instituţional privind organizarea studiilor superioare de doctorat, ciclul III (2022) </w:t>
            </w:r>
            <w:hyperlink r:id="rId11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instituţional privind organizarea și desfășurarea susținerii publice a tezelor de doctorat (2022) </w:t>
            </w:r>
            <w:hyperlink r:id="rId12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https://doctorat.usm.md/wp-content/uploads/2022/10/7.-Regulament_Sustinere_publice_a_tezeiAnexe.pdf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4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şi susţinerea referatelor științifice în cadrul studiilor de doctorat, ciclul III (2022) </w:t>
            </w:r>
            <w:hyperlink r:id="rId13">
              <w:r w:rsidR="008F66C6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4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2187"/>
                <w:tab w:val="left" w:pos="3465"/>
                <w:tab w:val="left" w:pos="4185"/>
                <w:tab w:val="left" w:pos="5195"/>
                <w:tab w:val="left" w:pos="6313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Procedura operațională privind depunerea documentelor în vederea examinării și aprobării lor de către </w:t>
            </w:r>
            <w:r>
              <w:rPr>
                <w:spacing w:val="-2"/>
                <w:sz w:val="20"/>
              </w:rPr>
              <w:t>Consiliului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al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USM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(2022)</w:t>
            </w:r>
            <w:r>
              <w:rPr>
                <w:sz w:val="20"/>
              </w:rPr>
              <w:tab/>
            </w:r>
            <w:hyperlink r:id="rId15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https://usm.md/wp-content/uploads/10.-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Procedura_depunere_document_CS.pdf</w:t>
              </w:r>
            </w:hyperlink>
          </w:p>
          <w:p w:rsidR="008F66C6" w:rsidRDefault="00000000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242"/>
              <w:rPr>
                <w:sz w:val="20"/>
              </w:rPr>
            </w:pPr>
            <w:r>
              <w:rPr>
                <w:sz w:val="20"/>
              </w:rPr>
              <w:t>Cojocaru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Victoria.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Moldaviae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Științe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 Educației. Nr. 9(19), 2008, p.15-17. ISSN 1857-2103 /ISSNe 2345-1025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207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C.F.,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Managementului.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Aplicații,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Bucureşti: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Editura Matrix Rom, 2012.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7"/>
              <w:ind w:right="73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Ghiban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Calității.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Aplicații. Bucureşti: Editura Matrix Rom, 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Printech,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556"/>
              <w:rPr>
                <w:sz w:val="20"/>
              </w:rPr>
            </w:pPr>
            <w:r>
              <w:rPr>
                <w:sz w:val="20"/>
              </w:rPr>
              <w:t>Ioana A., Costoiu M., Tufeanu D., Semenescu A., Marcu D. Management elements of conception and 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Series: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Modern Technologies in Industrial Engineering VII, 2019, Iași, România.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20"/>
              </w:rPr>
            </w:pPr>
            <w:r>
              <w:rPr>
                <w:sz w:val="20"/>
              </w:rPr>
              <w:t>Tufeanu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Scientific Research. Turnu Severin: Drobeta, 2018.</w:t>
            </w:r>
          </w:p>
        </w:tc>
      </w:tr>
    </w:tbl>
    <w:p w:rsidR="00EA560E" w:rsidRDefault="00EA560E"/>
    <w:sectPr w:rsidR="00EA560E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03D"/>
    <w:multiLevelType w:val="hybridMultilevel"/>
    <w:tmpl w:val="C0DAE818"/>
    <w:lvl w:ilvl="0" w:tplc="601817EA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D31EC908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EA02FE3E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27343EF8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075837FE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7A78CFDE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09DA2CF2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8F4A8A92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0002396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36F47CE9"/>
    <w:multiLevelType w:val="hybridMultilevel"/>
    <w:tmpl w:val="B31A95F4"/>
    <w:lvl w:ilvl="0" w:tplc="27A8C95E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C734A90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5970A80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7158956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AC7A7196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1D56D090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9D929BF0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DFCC3E7A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E4C18A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56A3208"/>
    <w:multiLevelType w:val="hybridMultilevel"/>
    <w:tmpl w:val="0F7EA60E"/>
    <w:lvl w:ilvl="0" w:tplc="11C2A5BC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C2E43692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0B3A1636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884E866A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1416EB90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A2309990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96C0DFC8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A2869904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B972FADC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3" w15:restartNumberingAfterBreak="0">
    <w:nsid w:val="7E711945"/>
    <w:multiLevelType w:val="hybridMultilevel"/>
    <w:tmpl w:val="3A761D52"/>
    <w:lvl w:ilvl="0" w:tplc="4D36835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23FA6F42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ABA67B4C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5A0E9D0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87207BD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274A91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400B5C8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2C8C5D78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B4B988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502895687">
    <w:abstractNumId w:val="2"/>
  </w:num>
  <w:num w:numId="2" w16cid:durableId="1655521227">
    <w:abstractNumId w:val="3"/>
  </w:num>
  <w:num w:numId="3" w16cid:durableId="183710354">
    <w:abstractNumId w:val="1"/>
  </w:num>
  <w:num w:numId="4" w16cid:durableId="46412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C6"/>
    <w:rsid w:val="00502B4B"/>
    <w:rsid w:val="00736024"/>
    <w:rsid w:val="008A5107"/>
    <w:rsid w:val="008F66C6"/>
    <w:rsid w:val="00D56666"/>
    <w:rsid w:val="00E15057"/>
    <w:rsid w:val="00EA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336EBF"/>
  <w15:docId w15:val="{68EC81A8-52B9-D446-8E0E-80C4B852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18490&amp;lang=ro" TargetMode="External"/><Relationship Id="rId13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acec.md/files/Ordin-mecc_regulament_calificative.pdf" TargetMode="External"/><Relationship Id="rId12" Type="http://schemas.openxmlformats.org/officeDocument/2006/relationships/hyperlink" Target="https://doctorat.usm.md/wp-content/uploads/2022/10/7.-Regulament_Sustinere_publice_a_tezeiAnex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m.md/wp-content/uploads/10.-Procedura_depunere_document_C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nacec.md/files/Ordin-mecc_regulament_calificative.pdf" TargetMode="External"/><Relationship Id="rId11" Type="http://schemas.openxmlformats.org/officeDocument/2006/relationships/hyperlink" Target="https://usm.md/wp-content/uploads/6.-Regulament_Instit_Studii_Doctorat-2022_site.pdf" TargetMode="External"/><Relationship Id="rId5" Type="http://schemas.openxmlformats.org/officeDocument/2006/relationships/hyperlink" Target="https://www.legis.md/cautare/getResults?doc_id=115655&amp;lang=ro" TargetMode="External"/><Relationship Id="rId15" Type="http://schemas.openxmlformats.org/officeDocument/2006/relationships/hyperlink" Target="https://usm.md/wp-content/uploads/10.-Procedura_depunere_document_CS.pdf" TargetMode="External"/><Relationship Id="rId10" Type="http://schemas.openxmlformats.org/officeDocument/2006/relationships/hyperlink" Target="https://usm.md/wp-content/uploads/3.-Strategia-de-dezvoltare-a-studiilor-de-doctorat-pentru-anii-2022-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m.md/wp-content/uploads/3.-Strategia-de-dezvoltare-a-studiilor-de-doctorat-pentru-anii-2022-2026.pdf" TargetMode="External"/><Relationship Id="rId14" Type="http://schemas.openxmlformats.org/officeDocument/2006/relationships/hyperlink" Target="https://doctorat.usm.md/wp-content/uploads/2022/11/Metodologia-privind-elaborarea-si-sustinerea-referatelor-stiintifice-in-cadrul-studiilor-de-doctor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4</cp:revision>
  <dcterms:created xsi:type="dcterms:W3CDTF">2026-04-11T06:28:00Z</dcterms:created>
  <dcterms:modified xsi:type="dcterms:W3CDTF">2026-04-11T06:33:00Z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