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FC6A1" w14:textId="77777777" w:rsidR="000E58F3" w:rsidRPr="00711938" w:rsidRDefault="000E58F3" w:rsidP="00711938"/>
    <w:p w14:paraId="4533DE23" w14:textId="3B6CB18F" w:rsidR="000E58F3" w:rsidRPr="00711938" w:rsidRDefault="00711938" w:rsidP="00711938">
      <w:pPr>
        <w:pStyle w:val="Title"/>
        <w:ind w:left="0"/>
        <w:jc w:val="center"/>
        <w:rPr>
          <w:sz w:val="22"/>
          <w:szCs w:val="22"/>
        </w:rPr>
      </w:pPr>
      <w:r w:rsidRPr="00711938">
        <w:rPr>
          <w:sz w:val="22"/>
          <w:szCs w:val="22"/>
        </w:rPr>
        <w:t xml:space="preserve">                                                                            </w:t>
      </w:r>
      <w:r w:rsidR="001C2435" w:rsidRPr="00711938">
        <w:rPr>
          <w:sz w:val="22"/>
          <w:szCs w:val="22"/>
        </w:rPr>
        <w:t>FIȘA</w:t>
      </w:r>
      <w:r w:rsidR="001C2435" w:rsidRPr="00711938">
        <w:rPr>
          <w:spacing w:val="-5"/>
          <w:sz w:val="22"/>
          <w:szCs w:val="22"/>
        </w:rPr>
        <w:t xml:space="preserve"> </w:t>
      </w:r>
      <w:r w:rsidR="001C2435" w:rsidRPr="00711938">
        <w:rPr>
          <w:spacing w:val="-2"/>
          <w:sz w:val="22"/>
          <w:szCs w:val="22"/>
        </w:rPr>
        <w:t>DISCIPLINEI</w:t>
      </w:r>
    </w:p>
    <w:p w14:paraId="71DDC1C6" w14:textId="77777777" w:rsidR="006A23A1" w:rsidRPr="00711938" w:rsidRDefault="001C2435" w:rsidP="00711938">
      <w:pPr>
        <w:pStyle w:val="BodyText"/>
        <w:spacing w:before="0"/>
        <w:ind w:left="0"/>
        <w:jc w:val="right"/>
        <w:rPr>
          <w:spacing w:val="1"/>
        </w:rPr>
      </w:pPr>
      <w:r w:rsidRPr="00711938">
        <w:rPr>
          <w:b w:val="0"/>
        </w:rPr>
        <w:br w:type="column"/>
      </w:r>
      <w:r w:rsidR="006A23A1" w:rsidRPr="00711938">
        <w:t>Aprobat:</w:t>
      </w:r>
      <w:r w:rsidR="006A23A1" w:rsidRPr="00711938">
        <w:rPr>
          <w:spacing w:val="-47"/>
        </w:rPr>
        <w:t xml:space="preserve"> </w:t>
      </w:r>
      <w:r w:rsidR="006A23A1" w:rsidRPr="00711938">
        <w:t>Consiliul</w:t>
      </w:r>
      <w:r w:rsidR="006A23A1" w:rsidRPr="00711938">
        <w:rPr>
          <w:spacing w:val="6"/>
        </w:rPr>
        <w:t xml:space="preserve"> </w:t>
      </w:r>
      <w:r w:rsidR="006A23A1" w:rsidRPr="00711938">
        <w:t>Științific al USM</w:t>
      </w:r>
      <w:r w:rsidR="006A23A1" w:rsidRPr="00711938">
        <w:rPr>
          <w:spacing w:val="1"/>
        </w:rPr>
        <w:t xml:space="preserve"> </w:t>
      </w:r>
    </w:p>
    <w:p w14:paraId="635FB9B2" w14:textId="77777777" w:rsidR="006A23A1" w:rsidRPr="00711938" w:rsidRDefault="006A23A1" w:rsidP="00711938">
      <w:pPr>
        <w:pStyle w:val="BodyText"/>
        <w:spacing w:before="0"/>
        <w:ind w:left="0"/>
        <w:jc w:val="right"/>
      </w:pPr>
      <w:r w:rsidRPr="00711938">
        <w:t>Proces</w:t>
      </w:r>
      <w:r w:rsidRPr="00711938">
        <w:rPr>
          <w:spacing w:val="-3"/>
        </w:rPr>
        <w:t>-</w:t>
      </w:r>
      <w:r w:rsidRPr="00711938">
        <w:t>verbal</w:t>
      </w:r>
      <w:r w:rsidRPr="00711938">
        <w:rPr>
          <w:spacing w:val="-3"/>
        </w:rPr>
        <w:t xml:space="preserve"> </w:t>
      </w:r>
      <w:r w:rsidRPr="00711938">
        <w:t>nr.</w:t>
      </w:r>
      <w:r w:rsidRPr="00711938">
        <w:rPr>
          <w:spacing w:val="1"/>
        </w:rPr>
        <w:t xml:space="preserve"> </w:t>
      </w:r>
      <w:r w:rsidRPr="00711938">
        <w:t>1, din</w:t>
      </w:r>
      <w:r w:rsidRPr="00711938">
        <w:rPr>
          <w:spacing w:val="-2"/>
        </w:rPr>
        <w:t xml:space="preserve"> </w:t>
      </w:r>
      <w:r w:rsidRPr="00711938">
        <w:t>30.11.22</w:t>
      </w:r>
    </w:p>
    <w:p w14:paraId="6A63C9BD" w14:textId="77777777" w:rsidR="006A23A1" w:rsidRPr="00711938" w:rsidRDefault="006A23A1" w:rsidP="00711938">
      <w:pPr>
        <w:jc w:val="right"/>
      </w:pPr>
      <w:r w:rsidRPr="00711938">
        <w:t>Reactualizat: Consiliul ȘDȘUE,</w:t>
      </w:r>
    </w:p>
    <w:p w14:paraId="113F3CF7" w14:textId="77777777" w:rsidR="006A23A1" w:rsidRPr="00711938" w:rsidRDefault="006A23A1" w:rsidP="00711938">
      <w:pPr>
        <w:pStyle w:val="BodyText"/>
        <w:spacing w:before="0"/>
        <w:ind w:left="0"/>
        <w:jc w:val="right"/>
        <w:sectPr w:rsidR="006A23A1" w:rsidRPr="00711938" w:rsidSect="006A23A1">
          <w:type w:val="continuous"/>
          <w:pgSz w:w="11910" w:h="16840"/>
          <w:pgMar w:top="480" w:right="580" w:bottom="280" w:left="480" w:header="708" w:footer="708" w:gutter="0"/>
          <w:cols w:num="2" w:space="708" w:equalWidth="0">
            <w:col w:w="6628" w:space="40"/>
            <w:col w:w="4182"/>
          </w:cols>
        </w:sectPr>
      </w:pPr>
      <w:r w:rsidRPr="00711938">
        <w:rPr>
          <w:b w:val="0"/>
          <w:bCs w:val="0"/>
        </w:rPr>
        <w:t>Proces</w:t>
      </w:r>
      <w:r w:rsidRPr="00711938">
        <w:rPr>
          <w:b w:val="0"/>
          <w:bCs w:val="0"/>
          <w:spacing w:val="-3"/>
        </w:rPr>
        <w:t>-</w:t>
      </w:r>
      <w:r w:rsidRPr="00711938">
        <w:rPr>
          <w:b w:val="0"/>
          <w:bCs w:val="0"/>
        </w:rPr>
        <w:t>verbal</w:t>
      </w:r>
      <w:r w:rsidRPr="00711938">
        <w:rPr>
          <w:b w:val="0"/>
          <w:bCs w:val="0"/>
          <w:spacing w:val="-3"/>
        </w:rPr>
        <w:t xml:space="preserve"> </w:t>
      </w:r>
      <w:r w:rsidRPr="00711938">
        <w:rPr>
          <w:b w:val="0"/>
          <w:bCs w:val="0"/>
        </w:rPr>
        <w:t>nr.</w:t>
      </w:r>
      <w:r w:rsidRPr="00711938">
        <w:rPr>
          <w:b w:val="0"/>
          <w:bCs w:val="0"/>
          <w:spacing w:val="1"/>
        </w:rPr>
        <w:t xml:space="preserve"> </w:t>
      </w:r>
      <w:r w:rsidRPr="00711938">
        <w:rPr>
          <w:b w:val="0"/>
          <w:bCs w:val="0"/>
        </w:rPr>
        <w:t>3, din</w:t>
      </w:r>
      <w:r w:rsidRPr="00711938">
        <w:rPr>
          <w:b w:val="0"/>
          <w:bCs w:val="0"/>
          <w:spacing w:val="-2"/>
        </w:rPr>
        <w:t xml:space="preserve"> </w:t>
      </w:r>
      <w:r w:rsidRPr="00711938">
        <w:rPr>
          <w:b w:val="0"/>
          <w:bCs w:val="0"/>
        </w:rPr>
        <w:t>22.12.25</w:t>
      </w:r>
    </w:p>
    <w:p w14:paraId="42129963" w14:textId="77777777" w:rsidR="000E58F3" w:rsidRPr="00711938" w:rsidRDefault="000E58F3" w:rsidP="00711938">
      <w:pPr>
        <w:pStyle w:val="BodyText"/>
        <w:spacing w:before="0"/>
        <w:ind w:left="0"/>
        <w:sectPr w:rsidR="000E58F3" w:rsidRPr="00711938">
          <w:type w:val="continuous"/>
          <w:pgSz w:w="11910" w:h="16840"/>
          <w:pgMar w:top="1040" w:right="566" w:bottom="280" w:left="566" w:header="720" w:footer="720" w:gutter="0"/>
          <w:cols w:num="2" w:space="720" w:equalWidth="0">
            <w:col w:w="4541" w:space="338"/>
            <w:col w:w="5899"/>
          </w:cols>
        </w:sectPr>
      </w:pPr>
    </w:p>
    <w:tbl>
      <w:tblPr>
        <w:tblW w:w="0" w:type="auto"/>
        <w:tblInd w:w="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97"/>
        <w:gridCol w:w="139"/>
        <w:gridCol w:w="2521"/>
        <w:gridCol w:w="2422"/>
        <w:gridCol w:w="1438"/>
        <w:gridCol w:w="2076"/>
      </w:tblGrid>
      <w:tr w:rsidR="000E58F3" w:rsidRPr="00711938" w14:paraId="07F6EFA8" w14:textId="77777777" w:rsidTr="00897446">
        <w:trPr>
          <w:trHeight w:val="354"/>
        </w:trPr>
        <w:tc>
          <w:tcPr>
            <w:tcW w:w="2136" w:type="dxa"/>
            <w:gridSpan w:val="2"/>
          </w:tcPr>
          <w:p w14:paraId="5E9333A5" w14:textId="77777777" w:rsidR="000E58F3" w:rsidRPr="00711938" w:rsidRDefault="00CC39D9" w:rsidP="00711938">
            <w:pPr>
              <w:pStyle w:val="TableParagraph"/>
              <w:ind w:left="0"/>
              <w:rPr>
                <w:b/>
              </w:rPr>
            </w:pPr>
            <w:r w:rsidRPr="00711938">
              <w:rPr>
                <w:b/>
                <w:spacing w:val="-2"/>
              </w:rPr>
              <w:t>Program de doctorat</w:t>
            </w:r>
          </w:p>
        </w:tc>
        <w:tc>
          <w:tcPr>
            <w:tcW w:w="8457" w:type="dxa"/>
            <w:gridSpan w:val="4"/>
          </w:tcPr>
          <w:p w14:paraId="5031221F" w14:textId="77777777" w:rsidR="000E58F3" w:rsidRPr="00711938" w:rsidRDefault="004D60AC" w:rsidP="00711938">
            <w:pPr>
              <w:jc w:val="center"/>
              <w:rPr>
                <w:b/>
                <w:iCs/>
              </w:rPr>
            </w:pPr>
            <w:r w:rsidRPr="00711938">
              <w:rPr>
                <w:b/>
                <w:iCs/>
              </w:rPr>
              <w:t>Teoria textului; analiza discursului; stilistică (cu specificarea limbii, după caz)</w:t>
            </w:r>
          </w:p>
        </w:tc>
      </w:tr>
      <w:tr w:rsidR="000E58F3" w:rsidRPr="00711938" w14:paraId="5D923D11" w14:textId="77777777" w:rsidTr="00897446">
        <w:trPr>
          <w:trHeight w:val="504"/>
        </w:trPr>
        <w:tc>
          <w:tcPr>
            <w:tcW w:w="2136" w:type="dxa"/>
            <w:gridSpan w:val="2"/>
          </w:tcPr>
          <w:p w14:paraId="2754C531" w14:textId="77777777" w:rsidR="000E58F3" w:rsidRPr="00711938" w:rsidRDefault="001C2435" w:rsidP="00711938">
            <w:pPr>
              <w:pStyle w:val="TableParagraph"/>
              <w:ind w:left="0"/>
              <w:rPr>
                <w:b/>
              </w:rPr>
            </w:pPr>
            <w:r w:rsidRPr="00711938">
              <w:rPr>
                <w:b/>
                <w:spacing w:val="-2"/>
              </w:rPr>
              <w:t>Denumirea</w:t>
            </w:r>
          </w:p>
          <w:p w14:paraId="7A1DB560" w14:textId="77777777" w:rsidR="000E58F3" w:rsidRPr="00711938" w:rsidRDefault="001C2435" w:rsidP="00711938">
            <w:pPr>
              <w:pStyle w:val="TableParagraph"/>
              <w:ind w:left="0"/>
              <w:rPr>
                <w:b/>
              </w:rPr>
            </w:pPr>
            <w:r w:rsidRPr="00711938">
              <w:rPr>
                <w:b/>
                <w:spacing w:val="-2"/>
              </w:rPr>
              <w:t>disciplinei</w:t>
            </w:r>
          </w:p>
        </w:tc>
        <w:tc>
          <w:tcPr>
            <w:tcW w:w="8457" w:type="dxa"/>
            <w:gridSpan w:val="4"/>
          </w:tcPr>
          <w:p w14:paraId="60C41624" w14:textId="2AF30A57" w:rsidR="000E58F3" w:rsidRPr="00711938" w:rsidRDefault="004D60AC" w:rsidP="00711938">
            <w:pPr>
              <w:pStyle w:val="TableParagraph"/>
              <w:ind w:left="0"/>
              <w:jc w:val="center"/>
              <w:rPr>
                <w:b/>
              </w:rPr>
            </w:pPr>
            <w:r w:rsidRPr="00711938">
              <w:rPr>
                <w:b/>
              </w:rPr>
              <w:t xml:space="preserve">S.02.06 </w:t>
            </w:r>
            <w:r w:rsidR="004453C7" w:rsidRPr="00711938">
              <w:rPr>
                <w:b/>
              </w:rPr>
              <w:t xml:space="preserve"> </w:t>
            </w:r>
            <w:r w:rsidR="001C2435" w:rsidRPr="00711938">
              <w:rPr>
                <w:b/>
              </w:rPr>
              <w:t>Tehnici</w:t>
            </w:r>
            <w:r w:rsidR="001C2435" w:rsidRPr="00711938">
              <w:rPr>
                <w:b/>
                <w:spacing w:val="-8"/>
              </w:rPr>
              <w:t xml:space="preserve"> </w:t>
            </w:r>
            <w:r w:rsidR="001C2435" w:rsidRPr="00711938">
              <w:rPr>
                <w:b/>
              </w:rPr>
              <w:t>și</w:t>
            </w:r>
            <w:r w:rsidR="001C2435" w:rsidRPr="00711938">
              <w:rPr>
                <w:b/>
                <w:spacing w:val="-4"/>
              </w:rPr>
              <w:t xml:space="preserve"> </w:t>
            </w:r>
            <w:r w:rsidR="001C2435" w:rsidRPr="00711938">
              <w:rPr>
                <w:b/>
              </w:rPr>
              <w:t>instrumente</w:t>
            </w:r>
            <w:r w:rsidR="001C2435" w:rsidRPr="00711938">
              <w:rPr>
                <w:b/>
                <w:spacing w:val="-4"/>
              </w:rPr>
              <w:t xml:space="preserve"> </w:t>
            </w:r>
            <w:r w:rsidR="001C2435" w:rsidRPr="00711938">
              <w:rPr>
                <w:b/>
              </w:rPr>
              <w:t>de</w:t>
            </w:r>
            <w:r w:rsidR="001C2435" w:rsidRPr="00711938">
              <w:rPr>
                <w:b/>
                <w:spacing w:val="-3"/>
              </w:rPr>
              <w:t xml:space="preserve"> </w:t>
            </w:r>
            <w:r w:rsidR="001C2435" w:rsidRPr="00711938">
              <w:rPr>
                <w:b/>
              </w:rPr>
              <w:t>cercetare</w:t>
            </w:r>
            <w:r w:rsidR="001C2435" w:rsidRPr="00711938">
              <w:rPr>
                <w:b/>
                <w:spacing w:val="-4"/>
              </w:rPr>
              <w:t xml:space="preserve"> </w:t>
            </w:r>
            <w:r w:rsidR="001C2435" w:rsidRPr="00711938">
              <w:rPr>
                <w:b/>
              </w:rPr>
              <w:t>științifică</w:t>
            </w:r>
            <w:r w:rsidR="001C2435" w:rsidRPr="00711938">
              <w:rPr>
                <w:b/>
                <w:spacing w:val="-6"/>
              </w:rPr>
              <w:t xml:space="preserve"> </w:t>
            </w:r>
            <w:r w:rsidR="001C2435" w:rsidRPr="00711938">
              <w:rPr>
                <w:b/>
              </w:rPr>
              <w:t>în</w:t>
            </w:r>
            <w:r w:rsidR="001C2435" w:rsidRPr="00711938">
              <w:rPr>
                <w:b/>
                <w:spacing w:val="-4"/>
              </w:rPr>
              <w:t xml:space="preserve"> </w:t>
            </w:r>
            <w:r w:rsidR="00A175FC">
              <w:rPr>
                <w:b/>
                <w:spacing w:val="-4"/>
              </w:rPr>
              <w:t>f</w:t>
            </w:r>
            <w:r w:rsidRPr="00711938">
              <w:rPr>
                <w:b/>
                <w:spacing w:val="-4"/>
              </w:rPr>
              <w:t>ilologie</w:t>
            </w:r>
          </w:p>
        </w:tc>
      </w:tr>
      <w:tr w:rsidR="0075644B" w:rsidRPr="00711938" w14:paraId="29E9A499" w14:textId="77777777" w:rsidTr="00897446">
        <w:trPr>
          <w:trHeight w:val="508"/>
        </w:trPr>
        <w:tc>
          <w:tcPr>
            <w:tcW w:w="2136" w:type="dxa"/>
            <w:gridSpan w:val="2"/>
            <w:tcBorders>
              <w:top w:val="single" w:sz="4" w:space="0" w:color="000000"/>
              <w:left w:val="single" w:sz="4" w:space="0" w:color="000000"/>
              <w:bottom w:val="single" w:sz="4" w:space="0" w:color="000000"/>
              <w:right w:val="single" w:sz="4" w:space="0" w:color="000000"/>
            </w:tcBorders>
          </w:tcPr>
          <w:p w14:paraId="4E3D94C9" w14:textId="77777777" w:rsidR="0075644B" w:rsidRPr="00711938" w:rsidRDefault="0075644B" w:rsidP="00711938">
            <w:pPr>
              <w:pStyle w:val="TableParagraph"/>
              <w:ind w:left="0"/>
              <w:jc w:val="both"/>
              <w:rPr>
                <w:b/>
              </w:rPr>
            </w:pPr>
            <w:r w:rsidRPr="00711938">
              <w:rPr>
                <w:b/>
              </w:rPr>
              <w:t>Titularul de curs</w:t>
            </w:r>
          </w:p>
        </w:tc>
        <w:tc>
          <w:tcPr>
            <w:tcW w:w="8457" w:type="dxa"/>
            <w:gridSpan w:val="4"/>
            <w:tcBorders>
              <w:top w:val="single" w:sz="4" w:space="0" w:color="000000"/>
              <w:left w:val="single" w:sz="4" w:space="0" w:color="000000"/>
              <w:bottom w:val="single" w:sz="4" w:space="0" w:color="000000"/>
              <w:right w:val="single" w:sz="4" w:space="0" w:color="000000"/>
            </w:tcBorders>
          </w:tcPr>
          <w:p w14:paraId="2B81B42B" w14:textId="1B6F9225" w:rsidR="0075644B" w:rsidRPr="00711938" w:rsidRDefault="0075644B" w:rsidP="00711938">
            <w:pPr>
              <w:pStyle w:val="TableParagraph"/>
              <w:ind w:left="0"/>
              <w:jc w:val="center"/>
              <w:rPr>
                <w:bCs/>
              </w:rPr>
            </w:pPr>
            <w:r w:rsidRPr="00711938">
              <w:rPr>
                <w:bCs/>
              </w:rPr>
              <w:t>Conducătorul</w:t>
            </w:r>
            <w:r w:rsidRPr="00711938">
              <w:rPr>
                <w:bCs/>
                <w:spacing w:val="-9"/>
              </w:rPr>
              <w:t xml:space="preserve"> </w:t>
            </w:r>
            <w:r w:rsidRPr="00711938">
              <w:rPr>
                <w:bCs/>
              </w:rPr>
              <w:t>de</w:t>
            </w:r>
            <w:r w:rsidRPr="00711938">
              <w:rPr>
                <w:bCs/>
                <w:spacing w:val="-7"/>
              </w:rPr>
              <w:t xml:space="preserve"> </w:t>
            </w:r>
            <w:r w:rsidRPr="00711938">
              <w:rPr>
                <w:bCs/>
                <w:spacing w:val="-2"/>
              </w:rPr>
              <w:t>doctorat</w:t>
            </w:r>
          </w:p>
        </w:tc>
      </w:tr>
      <w:tr w:rsidR="000E58F3" w:rsidRPr="00711938" w14:paraId="565B0B87" w14:textId="77777777" w:rsidTr="00897446">
        <w:trPr>
          <w:trHeight w:val="757"/>
        </w:trPr>
        <w:tc>
          <w:tcPr>
            <w:tcW w:w="10593" w:type="dxa"/>
            <w:gridSpan w:val="6"/>
          </w:tcPr>
          <w:p w14:paraId="035C464C" w14:textId="77777777" w:rsidR="000E58F3" w:rsidRPr="00711938" w:rsidRDefault="001C2435" w:rsidP="00711938">
            <w:pPr>
              <w:pStyle w:val="TableParagraph"/>
              <w:ind w:left="0"/>
              <w:rPr>
                <w:b/>
              </w:rPr>
            </w:pPr>
            <w:r w:rsidRPr="00711938">
              <w:rPr>
                <w:b/>
              </w:rPr>
              <w:t>Ciclul</w:t>
            </w:r>
            <w:r w:rsidRPr="00711938">
              <w:rPr>
                <w:b/>
                <w:spacing w:val="-5"/>
              </w:rPr>
              <w:t xml:space="preserve"> </w:t>
            </w:r>
            <w:r w:rsidRPr="00711938">
              <w:rPr>
                <w:b/>
              </w:rPr>
              <w:t>III,</w:t>
            </w:r>
            <w:r w:rsidRPr="00711938">
              <w:rPr>
                <w:b/>
                <w:spacing w:val="-3"/>
              </w:rPr>
              <w:t xml:space="preserve"> </w:t>
            </w:r>
            <w:r w:rsidRPr="00711938">
              <w:rPr>
                <w:b/>
                <w:spacing w:val="-2"/>
              </w:rPr>
              <w:t>Doctorat</w:t>
            </w:r>
          </w:p>
          <w:p w14:paraId="06017461" w14:textId="77777777" w:rsidR="000E58F3" w:rsidRPr="00711938" w:rsidRDefault="001C2435" w:rsidP="00711938">
            <w:pPr>
              <w:pStyle w:val="TableParagraph"/>
              <w:ind w:left="0"/>
              <w:rPr>
                <w:b/>
              </w:rPr>
            </w:pPr>
            <w:r w:rsidRPr="00711938">
              <w:rPr>
                <w:b/>
              </w:rPr>
              <w:t>Anul</w:t>
            </w:r>
            <w:r w:rsidRPr="00711938">
              <w:rPr>
                <w:b/>
                <w:spacing w:val="-10"/>
              </w:rPr>
              <w:t xml:space="preserve"> </w:t>
            </w:r>
            <w:r w:rsidRPr="00711938">
              <w:rPr>
                <w:b/>
              </w:rPr>
              <w:t>I,</w:t>
            </w:r>
            <w:r w:rsidRPr="00711938">
              <w:rPr>
                <w:b/>
                <w:spacing w:val="-1"/>
              </w:rPr>
              <w:t xml:space="preserve"> </w:t>
            </w:r>
            <w:r w:rsidRPr="00711938">
              <w:rPr>
                <w:b/>
              </w:rPr>
              <w:t>semestrul</w:t>
            </w:r>
            <w:r w:rsidRPr="00711938">
              <w:rPr>
                <w:b/>
                <w:spacing w:val="-7"/>
              </w:rPr>
              <w:t xml:space="preserve"> </w:t>
            </w:r>
            <w:r w:rsidRPr="00711938">
              <w:rPr>
                <w:b/>
                <w:spacing w:val="-5"/>
              </w:rPr>
              <w:t>II</w:t>
            </w:r>
          </w:p>
          <w:p w14:paraId="00DA6B82" w14:textId="77777777" w:rsidR="000E58F3" w:rsidRPr="00711938" w:rsidRDefault="001C2435" w:rsidP="00711938">
            <w:pPr>
              <w:pStyle w:val="TableParagraph"/>
              <w:ind w:left="0"/>
              <w:rPr>
                <w:b/>
              </w:rPr>
            </w:pPr>
            <w:r w:rsidRPr="00711938">
              <w:rPr>
                <w:b/>
              </w:rPr>
              <w:t>Codul</w:t>
            </w:r>
            <w:r w:rsidRPr="00711938">
              <w:rPr>
                <w:b/>
                <w:spacing w:val="-10"/>
              </w:rPr>
              <w:t xml:space="preserve"> </w:t>
            </w:r>
            <w:r w:rsidRPr="00711938">
              <w:rPr>
                <w:b/>
              </w:rPr>
              <w:t>disciplinei:</w:t>
            </w:r>
            <w:r w:rsidRPr="00711938">
              <w:rPr>
                <w:b/>
                <w:spacing w:val="-5"/>
              </w:rPr>
              <w:t xml:space="preserve"> </w:t>
            </w:r>
            <w:r w:rsidRPr="00711938">
              <w:rPr>
                <w:b/>
                <w:spacing w:val="-2"/>
              </w:rPr>
              <w:t>S.02.O.6.</w:t>
            </w:r>
          </w:p>
        </w:tc>
      </w:tr>
      <w:tr w:rsidR="000E58F3" w:rsidRPr="00711938" w14:paraId="5B8DAE17" w14:textId="77777777" w:rsidTr="00897446">
        <w:trPr>
          <w:trHeight w:val="254"/>
        </w:trPr>
        <w:tc>
          <w:tcPr>
            <w:tcW w:w="7079" w:type="dxa"/>
            <w:gridSpan w:val="4"/>
          </w:tcPr>
          <w:p w14:paraId="7DD627D0" w14:textId="77777777" w:rsidR="000E58F3" w:rsidRPr="00711938" w:rsidRDefault="001C2435" w:rsidP="00711938">
            <w:pPr>
              <w:pStyle w:val="TableParagraph"/>
              <w:ind w:left="0"/>
              <w:jc w:val="center"/>
              <w:rPr>
                <w:b/>
              </w:rPr>
            </w:pPr>
            <w:r w:rsidRPr="00711938">
              <w:rPr>
                <w:b/>
              </w:rPr>
              <w:t>Numărul</w:t>
            </w:r>
            <w:r w:rsidRPr="00711938">
              <w:rPr>
                <w:b/>
                <w:spacing w:val="-6"/>
              </w:rPr>
              <w:t xml:space="preserve"> </w:t>
            </w:r>
            <w:r w:rsidRPr="00711938">
              <w:rPr>
                <w:b/>
              </w:rPr>
              <w:t>de</w:t>
            </w:r>
            <w:r w:rsidRPr="00711938">
              <w:rPr>
                <w:b/>
                <w:spacing w:val="-5"/>
              </w:rPr>
              <w:t xml:space="preserve"> ore</w:t>
            </w:r>
          </w:p>
        </w:tc>
        <w:tc>
          <w:tcPr>
            <w:tcW w:w="1438" w:type="dxa"/>
            <w:vMerge w:val="restart"/>
          </w:tcPr>
          <w:p w14:paraId="1BC23FD7" w14:textId="77777777" w:rsidR="000E58F3" w:rsidRPr="00711938" w:rsidRDefault="001C2435" w:rsidP="00711938">
            <w:pPr>
              <w:pStyle w:val="TableParagraph"/>
              <w:ind w:left="0"/>
              <w:rPr>
                <w:b/>
              </w:rPr>
            </w:pPr>
            <w:r w:rsidRPr="00711938">
              <w:rPr>
                <w:b/>
              </w:rPr>
              <w:t>Nr</w:t>
            </w:r>
            <w:r w:rsidRPr="00711938">
              <w:rPr>
                <w:b/>
                <w:spacing w:val="-5"/>
              </w:rPr>
              <w:t xml:space="preserve"> </w:t>
            </w:r>
            <w:r w:rsidRPr="00711938">
              <w:rPr>
                <w:b/>
              </w:rPr>
              <w:t>de</w:t>
            </w:r>
            <w:r w:rsidRPr="00711938">
              <w:rPr>
                <w:b/>
                <w:spacing w:val="-2"/>
              </w:rPr>
              <w:t xml:space="preserve"> credite</w:t>
            </w:r>
          </w:p>
        </w:tc>
        <w:tc>
          <w:tcPr>
            <w:tcW w:w="2076" w:type="dxa"/>
            <w:vMerge w:val="restart"/>
          </w:tcPr>
          <w:p w14:paraId="0617D687" w14:textId="77777777" w:rsidR="000E58F3" w:rsidRPr="00711938" w:rsidRDefault="001C2435" w:rsidP="00711938">
            <w:pPr>
              <w:pStyle w:val="TableParagraph"/>
              <w:ind w:left="0"/>
              <w:rPr>
                <w:b/>
              </w:rPr>
            </w:pPr>
            <w:r w:rsidRPr="00711938">
              <w:rPr>
                <w:b/>
              </w:rPr>
              <w:t>Forma</w:t>
            </w:r>
            <w:r w:rsidRPr="00711938">
              <w:rPr>
                <w:b/>
                <w:spacing w:val="-6"/>
              </w:rPr>
              <w:t xml:space="preserve"> </w:t>
            </w:r>
            <w:r w:rsidRPr="00711938">
              <w:rPr>
                <w:b/>
              </w:rPr>
              <w:t>de</w:t>
            </w:r>
            <w:r w:rsidRPr="00711938">
              <w:rPr>
                <w:b/>
                <w:spacing w:val="-5"/>
              </w:rPr>
              <w:t xml:space="preserve"> </w:t>
            </w:r>
            <w:r w:rsidRPr="00711938">
              <w:rPr>
                <w:b/>
                <w:spacing w:val="-2"/>
              </w:rPr>
              <w:t>evaluare</w:t>
            </w:r>
          </w:p>
        </w:tc>
      </w:tr>
      <w:tr w:rsidR="000E58F3" w:rsidRPr="00711938" w14:paraId="4E4D5AEA" w14:textId="77777777" w:rsidTr="00897446">
        <w:trPr>
          <w:trHeight w:val="503"/>
        </w:trPr>
        <w:tc>
          <w:tcPr>
            <w:tcW w:w="1997" w:type="dxa"/>
          </w:tcPr>
          <w:p w14:paraId="655C9945" w14:textId="77777777" w:rsidR="000E58F3" w:rsidRPr="00711938" w:rsidRDefault="001C2435" w:rsidP="00711938">
            <w:pPr>
              <w:pStyle w:val="TableParagraph"/>
              <w:ind w:left="0"/>
              <w:jc w:val="center"/>
              <w:rPr>
                <w:b/>
              </w:rPr>
            </w:pPr>
            <w:r w:rsidRPr="00711938">
              <w:rPr>
                <w:b/>
                <w:spacing w:val="-2"/>
              </w:rPr>
              <w:t>Total</w:t>
            </w:r>
          </w:p>
        </w:tc>
        <w:tc>
          <w:tcPr>
            <w:tcW w:w="2660" w:type="dxa"/>
            <w:gridSpan w:val="2"/>
          </w:tcPr>
          <w:p w14:paraId="2C70E201" w14:textId="77777777" w:rsidR="000E58F3" w:rsidRPr="00711938" w:rsidRDefault="001C2435" w:rsidP="00711938">
            <w:pPr>
              <w:pStyle w:val="TableParagraph"/>
              <w:ind w:left="0"/>
              <w:rPr>
                <w:b/>
              </w:rPr>
            </w:pPr>
            <w:r w:rsidRPr="00711938">
              <w:rPr>
                <w:b/>
              </w:rPr>
              <w:t>Contact</w:t>
            </w:r>
            <w:r w:rsidRPr="00711938">
              <w:rPr>
                <w:b/>
                <w:spacing w:val="-9"/>
              </w:rPr>
              <w:t xml:space="preserve"> </w:t>
            </w:r>
            <w:r w:rsidRPr="00711938">
              <w:rPr>
                <w:b/>
                <w:spacing w:val="-2"/>
              </w:rPr>
              <w:t>direct</w:t>
            </w:r>
          </w:p>
        </w:tc>
        <w:tc>
          <w:tcPr>
            <w:tcW w:w="2422" w:type="dxa"/>
          </w:tcPr>
          <w:p w14:paraId="019B1676" w14:textId="77777777" w:rsidR="000E58F3" w:rsidRPr="00711938" w:rsidRDefault="001C2435" w:rsidP="00711938">
            <w:pPr>
              <w:pStyle w:val="TableParagraph"/>
              <w:ind w:left="0"/>
              <w:jc w:val="center"/>
              <w:rPr>
                <w:b/>
              </w:rPr>
            </w:pPr>
            <w:r w:rsidRPr="00711938">
              <w:rPr>
                <w:b/>
                <w:spacing w:val="-2"/>
              </w:rPr>
              <w:t>Lucrul</w:t>
            </w:r>
          </w:p>
          <w:p w14:paraId="35B95508" w14:textId="77777777" w:rsidR="000E58F3" w:rsidRPr="00711938" w:rsidRDefault="001C2435" w:rsidP="00711938">
            <w:pPr>
              <w:pStyle w:val="TableParagraph"/>
              <w:ind w:left="0"/>
              <w:jc w:val="center"/>
              <w:rPr>
                <w:b/>
              </w:rPr>
            </w:pPr>
            <w:r w:rsidRPr="00711938">
              <w:rPr>
                <w:b/>
                <w:spacing w:val="-2"/>
              </w:rPr>
              <w:t>individual</w:t>
            </w:r>
          </w:p>
        </w:tc>
        <w:tc>
          <w:tcPr>
            <w:tcW w:w="1438" w:type="dxa"/>
            <w:vMerge/>
            <w:tcBorders>
              <w:top w:val="nil"/>
            </w:tcBorders>
          </w:tcPr>
          <w:p w14:paraId="21FFD52C" w14:textId="77777777" w:rsidR="000E58F3" w:rsidRPr="00711938" w:rsidRDefault="000E58F3" w:rsidP="00711938"/>
        </w:tc>
        <w:tc>
          <w:tcPr>
            <w:tcW w:w="2076" w:type="dxa"/>
            <w:vMerge/>
            <w:tcBorders>
              <w:top w:val="nil"/>
            </w:tcBorders>
          </w:tcPr>
          <w:p w14:paraId="6EA1BFF0" w14:textId="77777777" w:rsidR="000E58F3" w:rsidRPr="00711938" w:rsidRDefault="000E58F3" w:rsidP="00711938"/>
        </w:tc>
      </w:tr>
      <w:tr w:rsidR="000E58F3" w:rsidRPr="00711938" w14:paraId="3F23E2E8" w14:textId="77777777" w:rsidTr="00897446">
        <w:trPr>
          <w:trHeight w:val="268"/>
        </w:trPr>
        <w:tc>
          <w:tcPr>
            <w:tcW w:w="1997" w:type="dxa"/>
          </w:tcPr>
          <w:p w14:paraId="08A59F40" w14:textId="77777777" w:rsidR="000E58F3" w:rsidRPr="00711938" w:rsidRDefault="001C2435" w:rsidP="00711938">
            <w:pPr>
              <w:pStyle w:val="TableParagraph"/>
              <w:ind w:left="0"/>
              <w:jc w:val="center"/>
              <w:rPr>
                <w:b/>
              </w:rPr>
            </w:pPr>
            <w:r w:rsidRPr="00711938">
              <w:rPr>
                <w:b/>
                <w:spacing w:val="-5"/>
              </w:rPr>
              <w:t>180</w:t>
            </w:r>
          </w:p>
        </w:tc>
        <w:tc>
          <w:tcPr>
            <w:tcW w:w="2660" w:type="dxa"/>
            <w:gridSpan w:val="2"/>
          </w:tcPr>
          <w:p w14:paraId="54DAFE5D" w14:textId="77777777" w:rsidR="000E58F3" w:rsidRPr="00711938" w:rsidRDefault="001C2435" w:rsidP="00711938">
            <w:pPr>
              <w:pStyle w:val="TableParagraph"/>
              <w:ind w:left="0"/>
              <w:jc w:val="center"/>
              <w:rPr>
                <w:b/>
              </w:rPr>
            </w:pPr>
            <w:r w:rsidRPr="00711938">
              <w:rPr>
                <w:b/>
                <w:spacing w:val="-5"/>
              </w:rPr>
              <w:t>10</w:t>
            </w:r>
          </w:p>
        </w:tc>
        <w:tc>
          <w:tcPr>
            <w:tcW w:w="2422" w:type="dxa"/>
          </w:tcPr>
          <w:p w14:paraId="705D24C0" w14:textId="77777777" w:rsidR="000E58F3" w:rsidRPr="00711938" w:rsidRDefault="001C2435" w:rsidP="00711938">
            <w:pPr>
              <w:pStyle w:val="TableParagraph"/>
              <w:ind w:left="0"/>
              <w:jc w:val="center"/>
              <w:rPr>
                <w:b/>
              </w:rPr>
            </w:pPr>
            <w:r w:rsidRPr="00711938">
              <w:rPr>
                <w:b/>
                <w:spacing w:val="-5"/>
              </w:rPr>
              <w:t>170</w:t>
            </w:r>
          </w:p>
        </w:tc>
        <w:tc>
          <w:tcPr>
            <w:tcW w:w="1438" w:type="dxa"/>
          </w:tcPr>
          <w:p w14:paraId="4057DA54" w14:textId="77777777" w:rsidR="000E58F3" w:rsidRPr="00711938" w:rsidRDefault="001C2435" w:rsidP="00711938">
            <w:pPr>
              <w:pStyle w:val="TableParagraph"/>
              <w:ind w:left="0"/>
              <w:jc w:val="center"/>
              <w:rPr>
                <w:b/>
              </w:rPr>
            </w:pPr>
            <w:r w:rsidRPr="00711938">
              <w:rPr>
                <w:b/>
                <w:spacing w:val="-10"/>
              </w:rPr>
              <w:t>6</w:t>
            </w:r>
          </w:p>
        </w:tc>
        <w:tc>
          <w:tcPr>
            <w:tcW w:w="2076" w:type="dxa"/>
          </w:tcPr>
          <w:p w14:paraId="055F96AB" w14:textId="77777777" w:rsidR="000E58F3" w:rsidRPr="00711938" w:rsidRDefault="001C2435" w:rsidP="00711938">
            <w:pPr>
              <w:pStyle w:val="TableParagraph"/>
              <w:ind w:left="0"/>
              <w:rPr>
                <w:b/>
              </w:rPr>
            </w:pPr>
            <w:r w:rsidRPr="00711938">
              <w:rPr>
                <w:b/>
                <w:spacing w:val="-2"/>
              </w:rPr>
              <w:t>Examen</w:t>
            </w:r>
          </w:p>
        </w:tc>
      </w:tr>
      <w:tr w:rsidR="000E58F3" w:rsidRPr="00711938" w14:paraId="74973A6D" w14:textId="77777777" w:rsidTr="00897446">
        <w:trPr>
          <w:trHeight w:val="2904"/>
        </w:trPr>
        <w:tc>
          <w:tcPr>
            <w:tcW w:w="1997" w:type="dxa"/>
          </w:tcPr>
          <w:p w14:paraId="5EC4AE61" w14:textId="77777777" w:rsidR="000E58F3" w:rsidRPr="00711938" w:rsidRDefault="001C2435" w:rsidP="00711938">
            <w:pPr>
              <w:pStyle w:val="TableParagraph"/>
              <w:ind w:left="0"/>
              <w:rPr>
                <w:b/>
              </w:rPr>
            </w:pPr>
            <w:r w:rsidRPr="00711938">
              <w:rPr>
                <w:b/>
                <w:spacing w:val="-2"/>
              </w:rPr>
              <w:t>Fundamentare</w:t>
            </w:r>
          </w:p>
        </w:tc>
        <w:tc>
          <w:tcPr>
            <w:tcW w:w="8596" w:type="dxa"/>
            <w:gridSpan w:val="5"/>
          </w:tcPr>
          <w:p w14:paraId="3A629FBF" w14:textId="73F7C649" w:rsidR="008876AA" w:rsidRPr="00711938" w:rsidRDefault="00711938" w:rsidP="00DF200E">
            <w:pPr>
              <w:pStyle w:val="TableParagraph"/>
              <w:ind w:left="218" w:firstLine="218"/>
              <w:jc w:val="both"/>
              <w:rPr>
                <w:lang w:val="en-US"/>
              </w:rPr>
            </w:pPr>
            <w:r w:rsidRPr="00711938">
              <w:rPr>
                <w:lang w:val="en-US"/>
              </w:rPr>
              <w:t xml:space="preserve">  </w:t>
            </w:r>
            <w:r w:rsidR="00AA5144" w:rsidRPr="00711938">
              <w:t>Cercetarea filologică contemporană se desfășoară într</w:t>
            </w:r>
            <w:r w:rsidR="00AA5144" w:rsidRPr="00711938">
              <w:noBreakHyphen/>
              <w:t>un mediu academic și tehnologic complex: volumul și diversitatea surselor textuale au crescut, metodele analitice s</w:t>
            </w:r>
            <w:r w:rsidR="00AA5144" w:rsidRPr="00711938">
              <w:noBreakHyphen/>
              <w:t>au diversificat (de la hermeneutică la analize computaționale), iar cerințele privind transparența, reproducibilitatea și etica cercetării sunt tot mai stringente. Astfel, este esențial ca cercetătorii în filologie să stăpânească atât fundamentele epistemologice și metodologice ale disciplinelor umaniste, cât și competențele practice necesare pentru utilizarea instrumentelor digitale și statistice contemporane. Scopul cursului este să ofere doctoranzilor cunoștințe teoretice și abilități practice necesare pentru proiectarea, implementarea, documentarea și comunicarea cercetărilor științifice în filologie, integrând metode calitative, cantitative și instrumente digitale moderne.</w:t>
            </w:r>
            <w:r w:rsidR="00DF200E">
              <w:t xml:space="preserve"> </w:t>
            </w:r>
            <w:r w:rsidR="00C63151" w:rsidRPr="00711938">
              <w:t>Specificul cursului „Tehnici și instrumente de cercetare științifică în filologie” constă în caracterul său integrat: fuziunea solidă între reflecția epistemologică umanistă și competențele tehnologice moderne, focalizarea asupra proiectării metodologice riguroase și asupra practicilor reproducibile și etice. Acest lucru răspunde nevoilor actuale ale cercetării doctorale, consolidând calitatea științifică a tezelor și a producției academice în filologie</w:t>
            </w:r>
            <w:r w:rsidR="00C63151" w:rsidRPr="00711938">
              <w:rPr>
                <w:lang w:val="en-US"/>
              </w:rPr>
              <w:t>.</w:t>
            </w:r>
          </w:p>
        </w:tc>
      </w:tr>
      <w:tr w:rsidR="000E58F3" w:rsidRPr="00711938" w14:paraId="7F968A35" w14:textId="77777777" w:rsidTr="00897446">
        <w:trPr>
          <w:trHeight w:val="1267"/>
        </w:trPr>
        <w:tc>
          <w:tcPr>
            <w:tcW w:w="1997" w:type="dxa"/>
          </w:tcPr>
          <w:p w14:paraId="68A951D8" w14:textId="77777777" w:rsidR="000E58F3" w:rsidRPr="00711938" w:rsidRDefault="001C2435" w:rsidP="00711938">
            <w:pPr>
              <w:pStyle w:val="TableParagraph"/>
              <w:ind w:left="0"/>
              <w:rPr>
                <w:b/>
              </w:rPr>
            </w:pPr>
            <w:r w:rsidRPr="00711938">
              <w:rPr>
                <w:b/>
                <w:spacing w:val="-2"/>
              </w:rPr>
              <w:t>Competenţele obţinute</w:t>
            </w:r>
            <w:r w:rsidR="004453C7" w:rsidRPr="00711938">
              <w:rPr>
                <w:b/>
                <w:spacing w:val="-2"/>
              </w:rPr>
              <w:t>/ Rezultatele învățării</w:t>
            </w:r>
          </w:p>
        </w:tc>
        <w:tc>
          <w:tcPr>
            <w:tcW w:w="8596" w:type="dxa"/>
            <w:gridSpan w:val="5"/>
          </w:tcPr>
          <w:p w14:paraId="42B5BB30" w14:textId="77777777" w:rsidR="004D60AC" w:rsidRPr="00711938" w:rsidRDefault="004D60AC" w:rsidP="00711938">
            <w:pPr>
              <w:ind w:firstLine="218"/>
              <w:jc w:val="both"/>
            </w:pPr>
            <w:r w:rsidRPr="00711938">
              <w:t>CP 1. Stabilirea cadrului de necesități de cercetare, expertiză și inovare în filologie</w:t>
            </w:r>
          </w:p>
          <w:p w14:paraId="50DAF39B" w14:textId="77777777" w:rsidR="004D60AC" w:rsidRPr="00711938" w:rsidRDefault="004D60AC" w:rsidP="00711938">
            <w:pPr>
              <w:ind w:firstLine="218"/>
              <w:jc w:val="both"/>
            </w:pPr>
            <w:r w:rsidRPr="00711938">
              <w:t>CP 2. Cercetarea și promovarea cunoștințelor filologice (lingvistice, literare și interculturale)</w:t>
            </w:r>
          </w:p>
          <w:p w14:paraId="7AC072F9" w14:textId="77777777" w:rsidR="004D60AC" w:rsidRPr="00711938" w:rsidRDefault="004D60AC" w:rsidP="00711938">
            <w:pPr>
              <w:ind w:firstLine="218"/>
              <w:jc w:val="both"/>
            </w:pPr>
            <w:r w:rsidRPr="00711938">
              <w:t>CP 3. Expertiza/aprecierea activității filologice și a evenimentelor literare și culturale</w:t>
            </w:r>
          </w:p>
          <w:p w14:paraId="4407A95A" w14:textId="77777777" w:rsidR="004D60AC" w:rsidRPr="00711938" w:rsidRDefault="004D60AC" w:rsidP="00711938">
            <w:pPr>
              <w:ind w:firstLine="218"/>
              <w:jc w:val="both"/>
            </w:pPr>
            <w:r w:rsidRPr="00711938">
              <w:t>CP 4. Implementarea realizărilor științifice în practica instituțiilor cu competență în domeniul filologiei</w:t>
            </w:r>
          </w:p>
          <w:p w14:paraId="74F8B4F0" w14:textId="77777777" w:rsidR="004D60AC" w:rsidRPr="00711938" w:rsidRDefault="004D60AC" w:rsidP="00711938">
            <w:pPr>
              <w:ind w:firstLine="218"/>
              <w:jc w:val="both"/>
            </w:pPr>
            <w:r w:rsidRPr="00711938">
              <w:t>CP 5. Conceptualizarea programelor de formare profesională în domeniul filologic</w:t>
            </w:r>
          </w:p>
          <w:p w14:paraId="044253D3" w14:textId="77777777" w:rsidR="000E58F3" w:rsidRPr="00711938" w:rsidRDefault="004D60AC" w:rsidP="00711938">
            <w:pPr>
              <w:ind w:firstLine="218"/>
              <w:jc w:val="both"/>
            </w:pPr>
            <w:r w:rsidRPr="00711938">
              <w:t>CP 6. Elaborarea și dezvoltarea cursurilor universitare și de formare profesională continuă.</w:t>
            </w:r>
          </w:p>
        </w:tc>
      </w:tr>
      <w:tr w:rsidR="000E58F3" w:rsidRPr="00711938" w14:paraId="34EF8F38" w14:textId="77777777" w:rsidTr="00897446">
        <w:trPr>
          <w:trHeight w:val="1262"/>
        </w:trPr>
        <w:tc>
          <w:tcPr>
            <w:tcW w:w="1997" w:type="dxa"/>
          </w:tcPr>
          <w:p w14:paraId="4D411B2C" w14:textId="77777777" w:rsidR="000E58F3" w:rsidRPr="00711938" w:rsidRDefault="001C2435" w:rsidP="00711938">
            <w:pPr>
              <w:pStyle w:val="TableParagraph"/>
              <w:ind w:left="0"/>
              <w:rPr>
                <w:b/>
              </w:rPr>
            </w:pPr>
            <w:r w:rsidRPr="00711938">
              <w:rPr>
                <w:b/>
                <w:spacing w:val="-2"/>
              </w:rPr>
              <w:t>Conţinutul disciplinei</w:t>
            </w:r>
          </w:p>
        </w:tc>
        <w:tc>
          <w:tcPr>
            <w:tcW w:w="8596" w:type="dxa"/>
            <w:gridSpan w:val="5"/>
          </w:tcPr>
          <w:p w14:paraId="1DFEDEC7" w14:textId="77777777" w:rsidR="00E06B1D" w:rsidRPr="00711938" w:rsidRDefault="00E06B1D" w:rsidP="00711938">
            <w:pPr>
              <w:pStyle w:val="TableParagraph"/>
              <w:numPr>
                <w:ilvl w:val="0"/>
                <w:numId w:val="8"/>
              </w:numPr>
              <w:tabs>
                <w:tab w:val="left" w:pos="440"/>
              </w:tabs>
              <w:ind w:left="0" w:firstLine="218"/>
              <w:rPr>
                <w:color w:val="0D0D0D" w:themeColor="text1" w:themeTint="F2"/>
              </w:rPr>
            </w:pPr>
            <w:r w:rsidRPr="00711938">
              <w:rPr>
                <w:color w:val="0D0D0D" w:themeColor="text1" w:themeTint="F2"/>
              </w:rPr>
              <w:t>Metodologia cercetării științifice în filologie</w:t>
            </w:r>
          </w:p>
          <w:p w14:paraId="55B5483E" w14:textId="77777777" w:rsidR="00E06B1D" w:rsidRPr="00711938" w:rsidRDefault="00E06B1D" w:rsidP="00711938">
            <w:pPr>
              <w:pStyle w:val="TableParagraph"/>
              <w:numPr>
                <w:ilvl w:val="0"/>
                <w:numId w:val="8"/>
              </w:numPr>
              <w:tabs>
                <w:tab w:val="left" w:pos="440"/>
              </w:tabs>
              <w:ind w:left="0" w:firstLine="218"/>
              <w:rPr>
                <w:color w:val="0D0D0D" w:themeColor="text1" w:themeTint="F2"/>
              </w:rPr>
            </w:pPr>
            <w:r w:rsidRPr="00711938">
              <w:rPr>
                <w:color w:val="0D0D0D" w:themeColor="text1" w:themeTint="F2"/>
              </w:rPr>
              <w:t>Tipuri de cercetare: teoretică, aplicativă, descriptivă, comparativă</w:t>
            </w:r>
          </w:p>
          <w:p w14:paraId="26A14519" w14:textId="77777777" w:rsidR="00E06B1D" w:rsidRPr="00711938" w:rsidRDefault="00E06B1D" w:rsidP="00711938">
            <w:pPr>
              <w:pStyle w:val="TableParagraph"/>
              <w:numPr>
                <w:ilvl w:val="0"/>
                <w:numId w:val="8"/>
              </w:numPr>
              <w:tabs>
                <w:tab w:val="left" w:pos="440"/>
              </w:tabs>
              <w:ind w:left="0" w:firstLine="218"/>
              <w:rPr>
                <w:color w:val="0D0D0D" w:themeColor="text1" w:themeTint="F2"/>
              </w:rPr>
            </w:pPr>
            <w:r w:rsidRPr="00711938">
              <w:rPr>
                <w:color w:val="0D0D0D" w:themeColor="text1" w:themeTint="F2"/>
              </w:rPr>
              <w:t>Surse și resurse documentare (bibliografii, baze de date)</w:t>
            </w:r>
          </w:p>
          <w:p w14:paraId="13E48A01" w14:textId="77777777" w:rsidR="00E06B1D" w:rsidRPr="00711938" w:rsidRDefault="00E06B1D" w:rsidP="00711938">
            <w:pPr>
              <w:pStyle w:val="TableParagraph"/>
              <w:numPr>
                <w:ilvl w:val="0"/>
                <w:numId w:val="8"/>
              </w:numPr>
              <w:tabs>
                <w:tab w:val="left" w:pos="440"/>
              </w:tabs>
              <w:ind w:left="0" w:firstLine="218"/>
              <w:rPr>
                <w:color w:val="0D0D0D" w:themeColor="text1" w:themeTint="F2"/>
              </w:rPr>
            </w:pPr>
            <w:r w:rsidRPr="00711938">
              <w:rPr>
                <w:color w:val="0D0D0D" w:themeColor="text1" w:themeTint="F2"/>
              </w:rPr>
              <w:t>Corpusuri lingvistice: constituire și utilizare</w:t>
            </w:r>
          </w:p>
          <w:p w14:paraId="418F0B80" w14:textId="77777777" w:rsidR="00E06B1D" w:rsidRPr="00711938" w:rsidRDefault="00E06B1D" w:rsidP="00711938">
            <w:pPr>
              <w:pStyle w:val="TableParagraph"/>
              <w:numPr>
                <w:ilvl w:val="0"/>
                <w:numId w:val="8"/>
              </w:numPr>
              <w:tabs>
                <w:tab w:val="left" w:pos="440"/>
              </w:tabs>
              <w:ind w:left="0" w:firstLine="218"/>
              <w:rPr>
                <w:color w:val="0D0D0D" w:themeColor="text1" w:themeTint="F2"/>
              </w:rPr>
            </w:pPr>
            <w:r w:rsidRPr="00711938">
              <w:rPr>
                <w:color w:val="0D0D0D" w:themeColor="text1" w:themeTint="F2"/>
              </w:rPr>
              <w:t>Metode de analiză în lexicologie și lexicografie</w:t>
            </w:r>
          </w:p>
          <w:p w14:paraId="27B8FDC0" w14:textId="77777777" w:rsidR="00E06B1D" w:rsidRPr="00711938" w:rsidRDefault="00E06B1D" w:rsidP="00711938">
            <w:pPr>
              <w:pStyle w:val="TableParagraph"/>
              <w:numPr>
                <w:ilvl w:val="0"/>
                <w:numId w:val="8"/>
              </w:numPr>
              <w:tabs>
                <w:tab w:val="left" w:pos="440"/>
              </w:tabs>
              <w:ind w:left="0" w:firstLine="218"/>
              <w:rPr>
                <w:color w:val="0D0D0D" w:themeColor="text1" w:themeTint="F2"/>
              </w:rPr>
            </w:pPr>
            <w:r w:rsidRPr="00711938">
              <w:rPr>
                <w:color w:val="0D0D0D" w:themeColor="text1" w:themeTint="F2"/>
              </w:rPr>
              <w:t>Cercetarea terminologică și gestionarea terminologiei</w:t>
            </w:r>
          </w:p>
          <w:p w14:paraId="7EEB76D4" w14:textId="77777777" w:rsidR="00E06B1D" w:rsidRPr="00711938" w:rsidRDefault="00E06B1D" w:rsidP="00711938">
            <w:pPr>
              <w:pStyle w:val="TableParagraph"/>
              <w:numPr>
                <w:ilvl w:val="0"/>
                <w:numId w:val="8"/>
              </w:numPr>
              <w:tabs>
                <w:tab w:val="left" w:pos="440"/>
              </w:tabs>
              <w:ind w:left="0" w:firstLine="218"/>
              <w:rPr>
                <w:color w:val="0D0D0D" w:themeColor="text1" w:themeTint="F2"/>
              </w:rPr>
            </w:pPr>
            <w:r w:rsidRPr="00711938">
              <w:rPr>
                <w:color w:val="0D0D0D" w:themeColor="text1" w:themeTint="F2"/>
              </w:rPr>
              <w:t>Instrumente digitale (software lingvistic, CAT tools)</w:t>
            </w:r>
          </w:p>
          <w:p w14:paraId="2A3A992E" w14:textId="77777777" w:rsidR="00E06B1D" w:rsidRPr="00711938" w:rsidRDefault="00E06B1D" w:rsidP="00711938">
            <w:pPr>
              <w:pStyle w:val="TableParagraph"/>
              <w:numPr>
                <w:ilvl w:val="0"/>
                <w:numId w:val="8"/>
              </w:numPr>
              <w:tabs>
                <w:tab w:val="left" w:pos="440"/>
              </w:tabs>
              <w:ind w:left="0" w:firstLine="218"/>
              <w:rPr>
                <w:color w:val="0D0D0D" w:themeColor="text1" w:themeTint="F2"/>
              </w:rPr>
            </w:pPr>
            <w:r w:rsidRPr="00711938">
              <w:rPr>
                <w:color w:val="0D0D0D" w:themeColor="text1" w:themeTint="F2"/>
              </w:rPr>
              <w:t>Metode în traductologie: analiză comparativă, studii de caz</w:t>
            </w:r>
          </w:p>
          <w:p w14:paraId="25133E6C" w14:textId="77777777" w:rsidR="00E06B1D" w:rsidRPr="00711938" w:rsidRDefault="00E06B1D" w:rsidP="00711938">
            <w:pPr>
              <w:pStyle w:val="TableParagraph"/>
              <w:numPr>
                <w:ilvl w:val="0"/>
                <w:numId w:val="8"/>
              </w:numPr>
              <w:tabs>
                <w:tab w:val="left" w:pos="440"/>
              </w:tabs>
              <w:ind w:left="0" w:firstLine="218"/>
              <w:rPr>
                <w:color w:val="0D0D0D" w:themeColor="text1" w:themeTint="F2"/>
              </w:rPr>
            </w:pPr>
            <w:r w:rsidRPr="00711938">
              <w:rPr>
                <w:color w:val="0D0D0D" w:themeColor="text1" w:themeTint="F2"/>
              </w:rPr>
              <w:t>Etica cercetării și integritatea academică</w:t>
            </w:r>
          </w:p>
          <w:p w14:paraId="55BC5401" w14:textId="20DAFE49" w:rsidR="00DB56EB" w:rsidRPr="00711938" w:rsidRDefault="00E06B1D" w:rsidP="00DF200E">
            <w:pPr>
              <w:pStyle w:val="TableParagraph"/>
              <w:numPr>
                <w:ilvl w:val="0"/>
                <w:numId w:val="8"/>
              </w:numPr>
              <w:tabs>
                <w:tab w:val="left" w:pos="440"/>
              </w:tabs>
              <w:ind w:left="0" w:firstLine="218"/>
              <w:rPr>
                <w:lang w:val="en-US"/>
              </w:rPr>
            </w:pPr>
            <w:r w:rsidRPr="00711938">
              <w:rPr>
                <w:color w:val="0D0D0D" w:themeColor="text1" w:themeTint="F2"/>
              </w:rPr>
              <w:t>Redactarea lucrărilor științifice și stiluri de citare</w:t>
            </w:r>
            <w:r w:rsidR="00DF200E">
              <w:rPr>
                <w:color w:val="0D0D0D" w:themeColor="text1" w:themeTint="F2"/>
              </w:rPr>
              <w:t>.</w:t>
            </w:r>
          </w:p>
        </w:tc>
      </w:tr>
      <w:tr w:rsidR="000E58F3" w:rsidRPr="00711938" w14:paraId="49D17E6C" w14:textId="77777777" w:rsidTr="008524DD">
        <w:trPr>
          <w:trHeight w:val="1691"/>
        </w:trPr>
        <w:tc>
          <w:tcPr>
            <w:tcW w:w="1997" w:type="dxa"/>
          </w:tcPr>
          <w:p w14:paraId="65561D8D" w14:textId="77777777" w:rsidR="000E58F3" w:rsidRPr="00711938" w:rsidRDefault="004D60AC" w:rsidP="00711938">
            <w:pPr>
              <w:pStyle w:val="TableParagraph"/>
              <w:ind w:left="0"/>
              <w:rPr>
                <w:b/>
              </w:rPr>
            </w:pPr>
            <w:r w:rsidRPr="00711938">
              <w:rPr>
                <w:b/>
                <w:spacing w:val="-2"/>
              </w:rPr>
              <w:t>Bibliografie selectivă</w:t>
            </w:r>
          </w:p>
        </w:tc>
        <w:tc>
          <w:tcPr>
            <w:tcW w:w="8596" w:type="dxa"/>
            <w:gridSpan w:val="5"/>
          </w:tcPr>
          <w:p w14:paraId="0C88621F" w14:textId="77777777" w:rsidR="00AA348A" w:rsidRPr="00711938" w:rsidRDefault="00AA348A" w:rsidP="00711938">
            <w:pPr>
              <w:widowControl/>
              <w:tabs>
                <w:tab w:val="left" w:pos="161"/>
                <w:tab w:val="left" w:pos="315"/>
                <w:tab w:val="left" w:pos="5565"/>
              </w:tabs>
              <w:autoSpaceDE/>
              <w:autoSpaceDN/>
              <w:ind w:firstLine="218"/>
              <w:jc w:val="both"/>
            </w:pPr>
            <w:r w:rsidRPr="00711938">
              <w:rPr>
                <w:b/>
                <w:bCs/>
              </w:rPr>
              <w:t>Acte normative naționale</w:t>
            </w:r>
            <w:r w:rsidRPr="00711938">
              <w:t>:</w:t>
            </w:r>
          </w:p>
          <w:p w14:paraId="6728F13D" w14:textId="77777777" w:rsidR="00AA348A" w:rsidRPr="00711938" w:rsidRDefault="00AA348A" w:rsidP="00711938">
            <w:pPr>
              <w:numPr>
                <w:ilvl w:val="0"/>
                <w:numId w:val="3"/>
              </w:numPr>
              <w:tabs>
                <w:tab w:val="left" w:pos="172"/>
                <w:tab w:val="left" w:pos="315"/>
                <w:tab w:val="left" w:pos="792"/>
                <w:tab w:val="left" w:pos="993"/>
              </w:tabs>
              <w:autoSpaceDE/>
              <w:autoSpaceDN/>
              <w:ind w:left="0" w:firstLine="218"/>
              <w:jc w:val="both"/>
            </w:pPr>
            <w:r w:rsidRPr="00711938">
              <w:t xml:space="preserve">Regulamentul privind publicațiile științifice, științifico-metodice, didactice și alte lucrări acceptate în procesul de evaluare a cercetării și inovării </w:t>
            </w:r>
            <w:hyperlink r:id="rId6" w:history="1">
              <w:r w:rsidRPr="00711938">
                <w:rPr>
                  <w:rStyle w:val="Hyperlink"/>
                </w:rPr>
                <w:t>https://www.anacec.md/files/Regulament-publicatii.pdf</w:t>
              </w:r>
            </w:hyperlink>
            <w:r w:rsidRPr="00711938">
              <w:t xml:space="preserve"> </w:t>
            </w:r>
          </w:p>
          <w:p w14:paraId="28BB90EC" w14:textId="77777777" w:rsidR="00AA348A" w:rsidRPr="00711938" w:rsidRDefault="00AA348A" w:rsidP="00711938">
            <w:pPr>
              <w:numPr>
                <w:ilvl w:val="0"/>
                <w:numId w:val="3"/>
              </w:numPr>
              <w:tabs>
                <w:tab w:val="left" w:pos="172"/>
                <w:tab w:val="left" w:pos="315"/>
                <w:tab w:val="left" w:pos="792"/>
                <w:tab w:val="left" w:pos="993"/>
              </w:tabs>
              <w:autoSpaceDE/>
              <w:autoSpaceDN/>
              <w:ind w:left="0" w:firstLine="218"/>
              <w:jc w:val="both"/>
            </w:pPr>
            <w:r w:rsidRPr="00711938">
              <w:t xml:space="preserve">Reviste științifice din R. Moldova </w:t>
            </w:r>
            <w:hyperlink r:id="rId7" w:history="1">
              <w:r w:rsidRPr="00711938">
                <w:rPr>
                  <w:rStyle w:val="Hyperlink"/>
                </w:rPr>
                <w:t>https://ibn.idsi.md/ro/journals_view</w:t>
              </w:r>
            </w:hyperlink>
            <w:r w:rsidRPr="00711938">
              <w:t xml:space="preserve"> </w:t>
            </w:r>
          </w:p>
          <w:p w14:paraId="3EB36675" w14:textId="77777777" w:rsidR="00AA348A" w:rsidRPr="00711938" w:rsidRDefault="00AA348A" w:rsidP="00711938">
            <w:pPr>
              <w:numPr>
                <w:ilvl w:val="0"/>
                <w:numId w:val="3"/>
              </w:numPr>
              <w:tabs>
                <w:tab w:val="left" w:pos="172"/>
                <w:tab w:val="left" w:pos="315"/>
                <w:tab w:val="left" w:pos="792"/>
                <w:tab w:val="left" w:pos="993"/>
              </w:tabs>
              <w:autoSpaceDE/>
              <w:autoSpaceDN/>
              <w:ind w:left="0" w:firstLine="218"/>
              <w:jc w:val="both"/>
            </w:pPr>
            <w:r w:rsidRPr="00711938">
              <w:t xml:space="preserve">Declarația privind Știința Deschisă în Republica Moldova </w:t>
            </w:r>
            <w:hyperlink r:id="rId8" w:history="1">
              <w:r w:rsidRPr="00711938">
                <w:rPr>
                  <w:rStyle w:val="Hyperlink"/>
                </w:rPr>
                <w:t>https://idsi.md/files/file/Declaratia_privind_Stiinta_Deschisa_in_Republica_Moldova.pdf</w:t>
              </w:r>
            </w:hyperlink>
            <w:r w:rsidRPr="00711938">
              <w:t xml:space="preserve">  </w:t>
            </w:r>
          </w:p>
          <w:p w14:paraId="036E5D3E" w14:textId="77777777" w:rsidR="00AA348A" w:rsidRPr="00711938" w:rsidRDefault="00AA348A" w:rsidP="00711938">
            <w:pPr>
              <w:numPr>
                <w:ilvl w:val="0"/>
                <w:numId w:val="3"/>
              </w:numPr>
              <w:tabs>
                <w:tab w:val="left" w:pos="172"/>
                <w:tab w:val="left" w:pos="315"/>
                <w:tab w:val="left" w:pos="792"/>
                <w:tab w:val="left" w:pos="993"/>
              </w:tabs>
              <w:autoSpaceDE/>
              <w:autoSpaceDN/>
              <w:ind w:left="0" w:firstLine="218"/>
              <w:jc w:val="both"/>
            </w:pPr>
            <w:r w:rsidRPr="00711938">
              <w:t xml:space="preserve">Lista bazelor de date acceptate de către Agenția Națională de Asigurare a Calității în Educație și Cercetare pentru publicarea rezultatelor în vederea confirmării titlurilor științifice. </w:t>
            </w:r>
            <w:hyperlink r:id="rId9" w:history="1">
              <w:r w:rsidRPr="00711938">
                <w:rPr>
                  <w:rStyle w:val="Hyperlink"/>
                </w:rPr>
                <w:t>https://anacec.md/files/Lista-baze-date-27.12.2019.pdf</w:t>
              </w:r>
            </w:hyperlink>
            <w:r w:rsidRPr="00711938">
              <w:t xml:space="preserve"> </w:t>
            </w:r>
          </w:p>
          <w:p w14:paraId="3BFBB29F" w14:textId="77777777" w:rsidR="00AA348A" w:rsidRPr="00711938" w:rsidRDefault="00AA348A" w:rsidP="00711938">
            <w:pPr>
              <w:widowControl/>
              <w:tabs>
                <w:tab w:val="left" w:pos="161"/>
                <w:tab w:val="left" w:pos="315"/>
                <w:tab w:val="left" w:pos="5565"/>
              </w:tabs>
              <w:autoSpaceDE/>
              <w:autoSpaceDN/>
              <w:ind w:firstLine="218"/>
              <w:jc w:val="both"/>
              <w:rPr>
                <w:b/>
                <w:bCs/>
                <w:spacing w:val="-4"/>
              </w:rPr>
            </w:pPr>
            <w:r w:rsidRPr="00711938">
              <w:rPr>
                <w:b/>
                <w:bCs/>
              </w:rPr>
              <w:t>Acte normative instituționale:</w:t>
            </w:r>
          </w:p>
          <w:p w14:paraId="42003FD9" w14:textId="77777777" w:rsidR="00AA348A" w:rsidRPr="00711938" w:rsidRDefault="00AA348A" w:rsidP="00711938">
            <w:pPr>
              <w:numPr>
                <w:ilvl w:val="0"/>
                <w:numId w:val="3"/>
              </w:numPr>
              <w:tabs>
                <w:tab w:val="left" w:pos="226"/>
                <w:tab w:val="left" w:pos="315"/>
                <w:tab w:val="left" w:pos="792"/>
                <w:tab w:val="left" w:pos="993"/>
              </w:tabs>
              <w:autoSpaceDE/>
              <w:autoSpaceDN/>
              <w:ind w:left="0" w:firstLine="218"/>
              <w:jc w:val="both"/>
              <w:rPr>
                <w:color w:val="000000"/>
              </w:rPr>
            </w:pPr>
            <w:r w:rsidRPr="00711938">
              <w:rPr>
                <w:color w:val="000000"/>
              </w:rPr>
              <w:t>Regulamentul instituţional privind organizarea studiilor superioare de doctorat, ciclul III</w:t>
            </w:r>
            <w:r w:rsidRPr="00711938">
              <w:rPr>
                <w:color w:val="000000"/>
                <w:shd w:val="solid" w:color="FFFFFF" w:fill="FFFFFF"/>
              </w:rPr>
              <w:t xml:space="preserve"> (2022)</w:t>
            </w:r>
            <w:r w:rsidRPr="00711938">
              <w:t xml:space="preserve"> </w:t>
            </w:r>
            <w:hyperlink r:id="rId10" w:history="1">
              <w:r w:rsidRPr="00711938">
                <w:rPr>
                  <w:rStyle w:val="Hyperlink"/>
                  <w:shd w:val="solid" w:color="FFFFFF" w:fill="FFFFFF"/>
                </w:rPr>
                <w:t>https://usm.md/wp-content/uploads/6.-Regulament_Instit_Studii_Doctorat-2022_site.pdf</w:t>
              </w:r>
            </w:hyperlink>
            <w:r w:rsidRPr="00711938">
              <w:rPr>
                <w:color w:val="000000"/>
                <w:shd w:val="solid" w:color="FFFFFF" w:fill="FFFFFF"/>
              </w:rPr>
              <w:t xml:space="preserve"> </w:t>
            </w:r>
          </w:p>
          <w:p w14:paraId="1E9E499E" w14:textId="77777777" w:rsidR="00AA348A" w:rsidRPr="00711938" w:rsidRDefault="00AA348A" w:rsidP="00711938">
            <w:pPr>
              <w:numPr>
                <w:ilvl w:val="0"/>
                <w:numId w:val="3"/>
              </w:numPr>
              <w:tabs>
                <w:tab w:val="left" w:pos="226"/>
                <w:tab w:val="left" w:pos="315"/>
                <w:tab w:val="left" w:pos="792"/>
                <w:tab w:val="left" w:pos="993"/>
              </w:tabs>
              <w:autoSpaceDE/>
              <w:autoSpaceDN/>
              <w:ind w:left="0" w:firstLine="218"/>
              <w:jc w:val="both"/>
              <w:rPr>
                <w:color w:val="000000"/>
              </w:rPr>
            </w:pPr>
            <w:r w:rsidRPr="00711938">
              <w:t xml:space="preserve">Metodologia privind elaborarea şi susţinerea referatelor științifice în cadrul studiilor de </w:t>
            </w:r>
            <w:r w:rsidRPr="00711938">
              <w:lastRenderedPageBreak/>
              <w:t xml:space="preserve">doctorat, ciclul III </w:t>
            </w:r>
            <w:r w:rsidRPr="00711938">
              <w:rPr>
                <w:color w:val="000000"/>
                <w:shd w:val="solid" w:color="FFFFFF" w:fill="FFFFFF"/>
              </w:rPr>
              <w:t>(2022)</w:t>
            </w:r>
            <w:r w:rsidRPr="00711938">
              <w:rPr>
                <w:lang w:val="en-US"/>
              </w:rPr>
              <w:t xml:space="preserve"> </w:t>
            </w:r>
            <w:hyperlink r:id="rId11" w:history="1">
              <w:r w:rsidRPr="00711938">
                <w:rPr>
                  <w:rStyle w:val="Hyperlink"/>
                  <w:shd w:val="solid" w:color="FFFFFF" w:fill="FFFFFF"/>
                </w:rPr>
                <w:t>https://doctorat.usm.md/wp-content/uploads/2022/11/Metodologia-privind-elaborarea-si-sustinerea-referatelor-stiintifice-in-cadrul-studiilor-de-doctorat.pdf</w:t>
              </w:r>
            </w:hyperlink>
            <w:r w:rsidRPr="00711938">
              <w:rPr>
                <w:color w:val="000000"/>
                <w:shd w:val="solid" w:color="FFFFFF" w:fill="FFFFFF"/>
              </w:rPr>
              <w:t xml:space="preserve"> </w:t>
            </w:r>
          </w:p>
          <w:p w14:paraId="23754501" w14:textId="607DC7C8" w:rsidR="005E60E7" w:rsidRPr="00711938" w:rsidRDefault="005E60E7" w:rsidP="00711938">
            <w:pPr>
              <w:numPr>
                <w:ilvl w:val="0"/>
                <w:numId w:val="3"/>
              </w:numPr>
              <w:tabs>
                <w:tab w:val="left" w:pos="226"/>
                <w:tab w:val="left" w:pos="315"/>
                <w:tab w:val="left" w:pos="792"/>
                <w:tab w:val="left" w:pos="993"/>
              </w:tabs>
              <w:autoSpaceDE/>
              <w:autoSpaceDN/>
              <w:ind w:left="0" w:firstLine="218"/>
              <w:jc w:val="both"/>
              <w:rPr>
                <w:color w:val="000000"/>
              </w:rPr>
            </w:pPr>
            <w:r w:rsidRPr="00711938">
              <w:t xml:space="preserve">Ghid privind </w:t>
            </w:r>
            <w:r w:rsidR="008524DD" w:rsidRPr="00711938">
              <w:t>redactarea</w:t>
            </w:r>
            <w:r w:rsidRPr="00711938">
              <w:t xml:space="preserve"> tezei de doctorat și a rezumatelor </w:t>
            </w:r>
            <w:hyperlink r:id="rId12" w:history="1">
              <w:r w:rsidRPr="00711938">
                <w:rPr>
                  <w:rStyle w:val="Hyperlink"/>
                </w:rPr>
                <w:t>file:///D:/Desktop/2026%20SCOALA%20DOCTORALA%20SDSUE/DOCTORAT%20DOCUMENTE%20PLANURI/Ghidul-SDSUE-privind-redactarea-tezei-de-doctorat-si-a-rezumatului_precizat.pdf</w:t>
              </w:r>
            </w:hyperlink>
            <w:r w:rsidRPr="00711938">
              <w:t xml:space="preserve"> </w:t>
            </w:r>
          </w:p>
          <w:p w14:paraId="397AE773" w14:textId="77777777" w:rsidR="00AA348A" w:rsidRPr="00711938" w:rsidRDefault="00AA348A" w:rsidP="00711938">
            <w:pPr>
              <w:tabs>
                <w:tab w:val="left" w:pos="226"/>
                <w:tab w:val="left" w:pos="792"/>
              </w:tabs>
              <w:autoSpaceDE/>
              <w:autoSpaceDN/>
              <w:ind w:firstLine="218"/>
              <w:jc w:val="both"/>
              <w:rPr>
                <w:color w:val="000000"/>
              </w:rPr>
            </w:pPr>
            <w:r w:rsidRPr="00711938">
              <w:rPr>
                <w:b/>
                <w:bCs/>
              </w:rPr>
              <w:t>Surse bibliografice</w:t>
            </w:r>
            <w:r w:rsidRPr="00711938">
              <w:t>:</w:t>
            </w:r>
          </w:p>
          <w:p w14:paraId="7AB41DAB" w14:textId="1F53092D" w:rsidR="0033251A" w:rsidRPr="00711938" w:rsidRDefault="0033251A" w:rsidP="00711938">
            <w:pPr>
              <w:pStyle w:val="ListParagraph"/>
              <w:widowControl/>
              <w:numPr>
                <w:ilvl w:val="0"/>
                <w:numId w:val="14"/>
              </w:numPr>
              <w:autoSpaceDE/>
              <w:autoSpaceDN/>
              <w:ind w:left="0" w:firstLine="218"/>
              <w:jc w:val="both"/>
              <w:rPr>
                <w:lang w:val="en-US"/>
              </w:rPr>
            </w:pPr>
            <w:r w:rsidRPr="00711938">
              <w:rPr>
                <w:lang w:val="en-US"/>
              </w:rPr>
              <w:t xml:space="preserve">Rădulescu, Mihaela St. </w:t>
            </w:r>
            <w:r w:rsidRPr="00711938">
              <w:rPr>
                <w:i/>
                <w:iCs/>
                <w:lang w:val="en-US"/>
              </w:rPr>
              <w:t>Metodologia cercetării științifice</w:t>
            </w:r>
            <w:r w:rsidRPr="00711938">
              <w:rPr>
                <w:lang w:val="en-US"/>
              </w:rPr>
              <w:t xml:space="preserve">. </w:t>
            </w:r>
            <w:r w:rsidRPr="00711938">
              <w:rPr>
                <w:i/>
                <w:iCs/>
                <w:lang w:val="en-US"/>
              </w:rPr>
              <w:t xml:space="preserve">Elaborarea lucrărilor de licenţă, masterat, doctorat </w:t>
            </w:r>
            <w:r w:rsidRPr="00711938">
              <w:rPr>
                <w:lang w:val="en-US"/>
              </w:rPr>
              <w:t>[Méthodologie de la recherche scientifique]. Ediţia a II-a. Bucureşti: Editura Didactică şi Pedagogică [2007] 2011. ISBN: 973-30-2894-9, 224 p.</w:t>
            </w:r>
          </w:p>
          <w:p w14:paraId="4A0786B4" w14:textId="4FD9BA84" w:rsidR="0033251A" w:rsidRPr="00711938" w:rsidRDefault="0033251A" w:rsidP="00711938">
            <w:pPr>
              <w:pStyle w:val="ListParagraph"/>
              <w:widowControl/>
              <w:numPr>
                <w:ilvl w:val="0"/>
                <w:numId w:val="14"/>
              </w:numPr>
              <w:autoSpaceDE/>
              <w:autoSpaceDN/>
              <w:ind w:left="0" w:firstLine="218"/>
              <w:jc w:val="both"/>
              <w:rPr>
                <w:lang w:val="ru-RU"/>
              </w:rPr>
            </w:pPr>
            <w:r w:rsidRPr="00711938">
              <w:rPr>
                <w:lang w:val="en-US"/>
              </w:rPr>
              <w:t xml:space="preserve">Onu, Liviu. </w:t>
            </w:r>
            <w:r w:rsidRPr="00711938">
              <w:rPr>
                <w:i/>
                <w:iCs/>
                <w:lang w:val="en-US"/>
              </w:rPr>
              <w:t>Introducere în filologia română: Orientări în tehnica cercetării științifice a limbii române</w:t>
            </w:r>
            <w:r w:rsidRPr="00711938">
              <w:rPr>
                <w:lang w:val="en-US"/>
              </w:rPr>
              <w:t xml:space="preserve">. </w:t>
            </w:r>
            <w:r w:rsidRPr="00711938">
              <w:rPr>
                <w:lang w:val="ru-RU"/>
              </w:rPr>
              <w:t xml:space="preserve">București: </w:t>
            </w:r>
            <w:r w:rsidRPr="00711938">
              <w:t xml:space="preserve">Editura </w:t>
            </w:r>
            <w:r w:rsidRPr="00711938">
              <w:rPr>
                <w:lang w:val="ru-RU"/>
              </w:rPr>
              <w:t>Didactică și Pedagogică</w:t>
            </w:r>
            <w:r w:rsidRPr="00711938">
              <w:t>, 1972</w:t>
            </w:r>
            <w:r w:rsidRPr="00711938">
              <w:rPr>
                <w:lang w:val="ru-RU"/>
              </w:rPr>
              <w:t>.</w:t>
            </w:r>
          </w:p>
          <w:p w14:paraId="46470C7A" w14:textId="5E691B3B" w:rsidR="0033251A" w:rsidRPr="00711938" w:rsidRDefault="0033251A" w:rsidP="00711938">
            <w:pPr>
              <w:pStyle w:val="ListParagraph"/>
              <w:widowControl/>
              <w:numPr>
                <w:ilvl w:val="0"/>
                <w:numId w:val="14"/>
              </w:numPr>
              <w:autoSpaceDE/>
              <w:autoSpaceDN/>
              <w:ind w:left="0" w:firstLine="218"/>
              <w:jc w:val="both"/>
              <w:rPr>
                <w:lang w:val="ru-RU"/>
              </w:rPr>
            </w:pPr>
            <w:r w:rsidRPr="00711938">
              <w:rPr>
                <w:lang w:val="en-US"/>
              </w:rPr>
              <w:t xml:space="preserve">Biber, Douglas; Conrad, Susan; Reppen, Randi. </w:t>
            </w:r>
            <w:r w:rsidRPr="00711938">
              <w:rPr>
                <w:i/>
                <w:iCs/>
                <w:lang w:val="en-US"/>
              </w:rPr>
              <w:t>Corpus Linguistics: Investigating Language Structure and Use</w:t>
            </w:r>
            <w:r w:rsidRPr="00711938">
              <w:rPr>
                <w:lang w:val="en-US"/>
              </w:rPr>
              <w:t xml:space="preserve">. </w:t>
            </w:r>
            <w:r w:rsidRPr="00711938">
              <w:rPr>
                <w:lang w:val="ru-RU"/>
              </w:rPr>
              <w:t>Cambridge University Press</w:t>
            </w:r>
            <w:r w:rsidR="00455A20" w:rsidRPr="00711938">
              <w:t>, 978-0-521-49957-6.</w:t>
            </w:r>
          </w:p>
          <w:p w14:paraId="27555C20" w14:textId="22FD3AE1" w:rsidR="0033251A" w:rsidRPr="00711938" w:rsidRDefault="0033251A" w:rsidP="00711938">
            <w:pPr>
              <w:pStyle w:val="ListParagraph"/>
              <w:widowControl/>
              <w:numPr>
                <w:ilvl w:val="0"/>
                <w:numId w:val="14"/>
              </w:numPr>
              <w:autoSpaceDE/>
              <w:autoSpaceDN/>
              <w:ind w:left="0" w:firstLine="218"/>
              <w:jc w:val="both"/>
              <w:rPr>
                <w:lang w:val="ru-RU"/>
              </w:rPr>
            </w:pPr>
            <w:r w:rsidRPr="00711938">
              <w:rPr>
                <w:lang w:val="en-US"/>
              </w:rPr>
              <w:t xml:space="preserve">Manning, Christopher; Schütze, Hinrich. </w:t>
            </w:r>
            <w:r w:rsidRPr="00711938">
              <w:rPr>
                <w:i/>
                <w:iCs/>
                <w:lang w:val="en-US"/>
              </w:rPr>
              <w:t>Foundations of Statistical Natural Language Processing.</w:t>
            </w:r>
            <w:r w:rsidRPr="00711938">
              <w:rPr>
                <w:lang w:val="en-US"/>
              </w:rPr>
              <w:t xml:space="preserve"> </w:t>
            </w:r>
            <w:r w:rsidR="00455A20" w:rsidRPr="00711938">
              <w:t>The MIT Press Cambridge, Massachusetts London, England, 1999.</w:t>
            </w:r>
          </w:p>
          <w:p w14:paraId="2CC631E1" w14:textId="77777777" w:rsidR="008524DD" w:rsidRPr="00711938" w:rsidRDefault="0033251A" w:rsidP="00711938">
            <w:pPr>
              <w:pStyle w:val="ListParagraph"/>
              <w:widowControl/>
              <w:numPr>
                <w:ilvl w:val="0"/>
                <w:numId w:val="14"/>
              </w:numPr>
              <w:autoSpaceDE/>
              <w:autoSpaceDN/>
              <w:ind w:left="0" w:firstLine="218"/>
              <w:jc w:val="both"/>
              <w:rPr>
                <w:lang w:val="en-US"/>
              </w:rPr>
            </w:pPr>
            <w:r w:rsidRPr="00711938">
              <w:rPr>
                <w:lang w:val="en-US"/>
              </w:rPr>
              <w:t xml:space="preserve">Gries, Stefan Th. </w:t>
            </w:r>
            <w:r w:rsidRPr="00711938">
              <w:rPr>
                <w:i/>
                <w:iCs/>
                <w:lang w:val="en-US"/>
              </w:rPr>
              <w:t>Statistics for Linguistics: An Introduction Using R.</w:t>
            </w:r>
            <w:r w:rsidR="00455A20" w:rsidRPr="00711938">
              <w:rPr>
                <w:lang w:val="en-US"/>
              </w:rPr>
              <w:t xml:space="preserve"> </w:t>
            </w:r>
            <w:r w:rsidR="00455A20" w:rsidRPr="00711938">
              <w:t xml:space="preserve">Taylor &amp; Francis, </w:t>
            </w:r>
            <w:r w:rsidR="00455A20" w:rsidRPr="00711938">
              <w:rPr>
                <w:lang w:val="en-US"/>
              </w:rPr>
              <w:t>2020, ISBN: 978-1-138-05608-4 (hbk)</w:t>
            </w:r>
          </w:p>
          <w:p w14:paraId="114A6A3C" w14:textId="77777777" w:rsidR="00E06B1D" w:rsidRPr="00711938" w:rsidRDefault="00E06B1D" w:rsidP="00711938">
            <w:pPr>
              <w:pStyle w:val="TableParagraph"/>
              <w:numPr>
                <w:ilvl w:val="0"/>
                <w:numId w:val="14"/>
              </w:numPr>
              <w:ind w:left="0" w:firstLine="218"/>
              <w:jc w:val="both"/>
              <w:rPr>
                <w:color w:val="0D0D0D" w:themeColor="text1" w:themeTint="F2"/>
              </w:rPr>
            </w:pPr>
            <w:r w:rsidRPr="00711938">
              <w:rPr>
                <w:color w:val="0D0D0D" w:themeColor="text1" w:themeTint="F2"/>
              </w:rPr>
              <w:t xml:space="preserve">Baker Mona, Saldanha Gabriela (eds.). </w:t>
            </w:r>
            <w:r w:rsidRPr="00711938">
              <w:rPr>
                <w:i/>
                <w:iCs/>
                <w:color w:val="0D0D0D" w:themeColor="text1" w:themeTint="F2"/>
              </w:rPr>
              <w:t>The</w:t>
            </w:r>
            <w:r w:rsidRPr="00711938">
              <w:rPr>
                <w:color w:val="0D0D0D" w:themeColor="text1" w:themeTint="F2"/>
              </w:rPr>
              <w:t xml:space="preserve"> </w:t>
            </w:r>
            <w:r w:rsidRPr="00711938">
              <w:rPr>
                <w:i/>
                <w:iCs/>
                <w:color w:val="0D0D0D" w:themeColor="text1" w:themeTint="F2"/>
                <w:lang w:val="en-GB"/>
              </w:rPr>
              <w:t>Routledge Encyclopaedia of Translation Studies</w:t>
            </w:r>
            <w:r w:rsidRPr="00711938">
              <w:rPr>
                <w:color w:val="0D0D0D" w:themeColor="text1" w:themeTint="F2"/>
              </w:rPr>
              <w:t>. 3rd ed. London/New York, Routledge, 2020.</w:t>
            </w:r>
          </w:p>
          <w:p w14:paraId="6EDA384A" w14:textId="77777777" w:rsidR="00E06B1D" w:rsidRPr="00711938" w:rsidRDefault="00E06B1D" w:rsidP="00711938">
            <w:pPr>
              <w:pStyle w:val="TableParagraph"/>
              <w:numPr>
                <w:ilvl w:val="0"/>
                <w:numId w:val="14"/>
              </w:numPr>
              <w:ind w:left="0" w:firstLine="218"/>
              <w:jc w:val="both"/>
              <w:rPr>
                <w:color w:val="0D0D0D" w:themeColor="text1" w:themeTint="F2"/>
              </w:rPr>
            </w:pPr>
            <w:r w:rsidRPr="00711938">
              <w:rPr>
                <w:color w:val="0D0D0D" w:themeColor="text1" w:themeTint="F2"/>
              </w:rPr>
              <w:t xml:space="preserve">Bidu-Vrănceanu, Angela. </w:t>
            </w:r>
            <w:r w:rsidRPr="00711938">
              <w:rPr>
                <w:i/>
                <w:iCs/>
                <w:color w:val="0D0D0D" w:themeColor="text1" w:themeTint="F2"/>
              </w:rPr>
              <w:t>Lexicul specializat în mișcare. De la dicționare la texte</w:t>
            </w:r>
            <w:r w:rsidRPr="00711938">
              <w:rPr>
                <w:color w:val="0D0D0D" w:themeColor="text1" w:themeTint="F2"/>
              </w:rPr>
              <w:t>. București, Editura Universității din București, 2007.</w:t>
            </w:r>
          </w:p>
          <w:p w14:paraId="44AE6D70" w14:textId="77777777" w:rsidR="00E06B1D" w:rsidRPr="00711938" w:rsidRDefault="00E06B1D" w:rsidP="00711938">
            <w:pPr>
              <w:pStyle w:val="TableParagraph"/>
              <w:numPr>
                <w:ilvl w:val="0"/>
                <w:numId w:val="14"/>
              </w:numPr>
              <w:ind w:left="0" w:firstLine="218"/>
              <w:jc w:val="both"/>
              <w:rPr>
                <w:color w:val="0D0D0D" w:themeColor="text1" w:themeTint="F2"/>
              </w:rPr>
            </w:pPr>
            <w:r w:rsidRPr="00711938">
              <w:rPr>
                <w:color w:val="0D0D0D" w:themeColor="text1" w:themeTint="F2"/>
              </w:rPr>
              <w:t xml:space="preserve">Bidu-Vrănceanu, Angela (coord.). </w:t>
            </w:r>
            <w:r w:rsidRPr="00711938">
              <w:rPr>
                <w:i/>
                <w:iCs/>
                <w:color w:val="0D0D0D" w:themeColor="text1" w:themeTint="F2"/>
              </w:rPr>
              <w:t>Terminologie și terminologii</w:t>
            </w:r>
            <w:r w:rsidRPr="00711938">
              <w:rPr>
                <w:color w:val="0D0D0D" w:themeColor="text1" w:themeTint="F2"/>
              </w:rPr>
              <w:t>. București, Editura Universității din București, 2012.</w:t>
            </w:r>
          </w:p>
          <w:p w14:paraId="72A93395" w14:textId="77777777" w:rsidR="00E06B1D" w:rsidRPr="00711938" w:rsidRDefault="00E06B1D" w:rsidP="00711938">
            <w:pPr>
              <w:pStyle w:val="TableParagraph"/>
              <w:numPr>
                <w:ilvl w:val="0"/>
                <w:numId w:val="14"/>
              </w:numPr>
              <w:ind w:left="0" w:firstLine="218"/>
              <w:jc w:val="both"/>
              <w:rPr>
                <w:color w:val="0D0D0D" w:themeColor="text1" w:themeTint="F2"/>
              </w:rPr>
            </w:pPr>
            <w:r w:rsidRPr="00711938">
              <w:rPr>
                <w:color w:val="0D0D0D" w:themeColor="text1" w:themeTint="F2"/>
                <w:lang w:val="en-GB"/>
              </w:rPr>
              <w:t xml:space="preserve">Biel Łucja, Sosonkina Iryna (eds.). </w:t>
            </w:r>
            <w:r w:rsidRPr="00711938">
              <w:rPr>
                <w:i/>
                <w:iCs/>
                <w:color w:val="0D0D0D" w:themeColor="text1" w:themeTint="F2"/>
                <w:lang w:val="en-GB"/>
              </w:rPr>
              <w:t>Research Methods in Legal Translation and Interpreting</w:t>
            </w:r>
            <w:r w:rsidRPr="00711938">
              <w:rPr>
                <w:color w:val="0D0D0D" w:themeColor="text1" w:themeTint="F2"/>
                <w:lang w:val="en-GB"/>
              </w:rPr>
              <w:t>. London/New York, Routledge, 2019</w:t>
            </w:r>
            <w:r w:rsidRPr="00711938">
              <w:rPr>
                <w:color w:val="0D0D0D" w:themeColor="text1" w:themeTint="F2"/>
              </w:rPr>
              <w:t>.</w:t>
            </w:r>
          </w:p>
          <w:p w14:paraId="602CC96C" w14:textId="77777777" w:rsidR="00E06B1D" w:rsidRPr="00711938" w:rsidRDefault="00E06B1D" w:rsidP="00711938">
            <w:pPr>
              <w:pStyle w:val="TableParagraph"/>
              <w:numPr>
                <w:ilvl w:val="0"/>
                <w:numId w:val="14"/>
              </w:numPr>
              <w:ind w:left="0" w:firstLine="218"/>
              <w:jc w:val="both"/>
              <w:rPr>
                <w:color w:val="0D0D0D" w:themeColor="text1" w:themeTint="F2"/>
              </w:rPr>
            </w:pPr>
            <w:r w:rsidRPr="00711938">
              <w:rPr>
                <w:color w:val="0D0D0D" w:themeColor="text1" w:themeTint="F2"/>
                <w:lang w:val="en-GB"/>
              </w:rPr>
              <w:t xml:space="preserve">Bowker Lynne. </w:t>
            </w:r>
            <w:r w:rsidRPr="00711938">
              <w:rPr>
                <w:i/>
                <w:iCs/>
                <w:color w:val="0D0D0D" w:themeColor="text1" w:themeTint="F2"/>
                <w:lang w:val="en-GB"/>
              </w:rPr>
              <w:t>Machine Translation and Global Research: Towards Improved Machine Translation Literacy in the Scholarly Community</w:t>
            </w:r>
            <w:r w:rsidRPr="00711938">
              <w:rPr>
                <w:color w:val="0D0D0D" w:themeColor="text1" w:themeTint="F2"/>
                <w:lang w:val="en-GB"/>
              </w:rPr>
              <w:t>. Bingley, Emerald Publishing, 2019</w:t>
            </w:r>
            <w:r w:rsidRPr="00711938">
              <w:rPr>
                <w:color w:val="0D0D0D" w:themeColor="text1" w:themeTint="F2"/>
              </w:rPr>
              <w:t>.</w:t>
            </w:r>
          </w:p>
          <w:p w14:paraId="31381C76" w14:textId="77777777" w:rsidR="00E06B1D" w:rsidRPr="00711938" w:rsidRDefault="00E06B1D" w:rsidP="00711938">
            <w:pPr>
              <w:pStyle w:val="TableParagraph"/>
              <w:numPr>
                <w:ilvl w:val="0"/>
                <w:numId w:val="14"/>
              </w:numPr>
              <w:ind w:left="0" w:firstLine="218"/>
              <w:jc w:val="both"/>
              <w:rPr>
                <w:color w:val="0D0D0D" w:themeColor="text1" w:themeTint="F2"/>
              </w:rPr>
            </w:pPr>
            <w:r w:rsidRPr="00711938">
              <w:rPr>
                <w:color w:val="0D0D0D" w:themeColor="text1" w:themeTint="F2"/>
              </w:rPr>
              <w:t xml:space="preserve">Cabré Maria Teresa, Estopà Rosa (eds.). </w:t>
            </w:r>
            <w:r w:rsidRPr="00711938">
              <w:rPr>
                <w:i/>
                <w:iCs/>
                <w:color w:val="0D0D0D" w:themeColor="text1" w:themeTint="F2"/>
                <w:lang w:val="en-GB"/>
              </w:rPr>
              <w:t>Terminology in the Digital Age</w:t>
            </w:r>
            <w:r w:rsidRPr="00711938">
              <w:rPr>
                <w:color w:val="0D0D0D" w:themeColor="text1" w:themeTint="F2"/>
              </w:rPr>
              <w:t xml:space="preserve">. Amsterdam/Philadelphia, John Benjamins, 2020. </w:t>
            </w:r>
          </w:p>
          <w:p w14:paraId="50A8A7BE" w14:textId="77777777" w:rsidR="00E06B1D" w:rsidRPr="00711938" w:rsidRDefault="00E06B1D" w:rsidP="00711938">
            <w:pPr>
              <w:pStyle w:val="TableParagraph"/>
              <w:numPr>
                <w:ilvl w:val="0"/>
                <w:numId w:val="14"/>
              </w:numPr>
              <w:ind w:left="0" w:firstLine="218"/>
              <w:jc w:val="both"/>
              <w:rPr>
                <w:color w:val="0D0D0D" w:themeColor="text1" w:themeTint="F2"/>
              </w:rPr>
            </w:pPr>
            <w:r w:rsidRPr="00711938">
              <w:rPr>
                <w:color w:val="0D0D0D" w:themeColor="text1" w:themeTint="F2"/>
              </w:rPr>
              <w:t xml:space="preserve">Cabré Maria Teresa. </w:t>
            </w:r>
            <w:r w:rsidRPr="00711938">
              <w:rPr>
                <w:i/>
                <w:iCs/>
                <w:color w:val="0D0D0D" w:themeColor="text1" w:themeTint="F2"/>
                <w:lang w:val="en-GB"/>
              </w:rPr>
              <w:t>Terminology: Theory, Methods and Applications</w:t>
            </w:r>
            <w:r w:rsidRPr="00711938">
              <w:rPr>
                <w:color w:val="0D0D0D" w:themeColor="text1" w:themeTint="F2"/>
                <w:lang w:val="en-GB"/>
              </w:rPr>
              <w:t>. Amsterdam/Philadelphia: John Benjamins Publishing Company</w:t>
            </w:r>
            <w:r w:rsidRPr="00711938">
              <w:rPr>
                <w:color w:val="0D0D0D" w:themeColor="text1" w:themeTint="F2"/>
              </w:rPr>
              <w:t>, 1999.</w:t>
            </w:r>
          </w:p>
          <w:p w14:paraId="71380BCC" w14:textId="77777777" w:rsidR="00E06B1D" w:rsidRPr="00711938" w:rsidRDefault="00E06B1D" w:rsidP="00711938">
            <w:pPr>
              <w:pStyle w:val="TableParagraph"/>
              <w:numPr>
                <w:ilvl w:val="0"/>
                <w:numId w:val="14"/>
              </w:numPr>
              <w:ind w:left="0" w:firstLine="218"/>
              <w:jc w:val="both"/>
              <w:rPr>
                <w:color w:val="0D0D0D" w:themeColor="text1" w:themeTint="F2"/>
              </w:rPr>
            </w:pPr>
            <w:r w:rsidRPr="00711938">
              <w:rPr>
                <w:color w:val="0D0D0D" w:themeColor="text1" w:themeTint="F2"/>
              </w:rPr>
              <w:t xml:space="preserve">Coşeriu Eugen. </w:t>
            </w:r>
            <w:r w:rsidRPr="00711938">
              <w:rPr>
                <w:i/>
                <w:iCs/>
                <w:color w:val="0D0D0D" w:themeColor="text1" w:themeTint="F2"/>
              </w:rPr>
              <w:t>Omul și limbajul său. Studii de filozofie a limbajului, teorie a limbii și lingvistică generală</w:t>
            </w:r>
            <w:r w:rsidRPr="00711938">
              <w:rPr>
                <w:color w:val="0D0D0D" w:themeColor="text1" w:themeTint="F2"/>
              </w:rPr>
              <w:t>. Editura Universității „A.I. Cuza”, Iași, 2009.</w:t>
            </w:r>
          </w:p>
          <w:p w14:paraId="0E2980E8" w14:textId="77777777" w:rsidR="00E06B1D" w:rsidRPr="00711938" w:rsidRDefault="00E06B1D" w:rsidP="00711938">
            <w:pPr>
              <w:pStyle w:val="TableParagraph"/>
              <w:numPr>
                <w:ilvl w:val="0"/>
                <w:numId w:val="14"/>
              </w:numPr>
              <w:ind w:left="0" w:firstLine="218"/>
              <w:jc w:val="both"/>
              <w:rPr>
                <w:color w:val="0D0D0D" w:themeColor="text1" w:themeTint="F2"/>
              </w:rPr>
            </w:pPr>
            <w:r w:rsidRPr="00711938">
              <w:rPr>
                <w:color w:val="0D0D0D" w:themeColor="text1" w:themeTint="F2"/>
              </w:rPr>
              <w:t xml:space="preserve">Cresswell John W. </w:t>
            </w:r>
            <w:r w:rsidRPr="00711938">
              <w:rPr>
                <w:i/>
                <w:iCs/>
                <w:color w:val="0D0D0D" w:themeColor="text1" w:themeTint="F2"/>
                <w:lang w:val="en-GB"/>
              </w:rPr>
              <w:t>Research Design: Qualitative, Quantitative, and Mixed Methods Approaches</w:t>
            </w:r>
            <w:r w:rsidRPr="00711938">
              <w:rPr>
                <w:color w:val="0D0D0D" w:themeColor="text1" w:themeTint="F2"/>
                <w:lang w:val="en-GB"/>
              </w:rPr>
              <w:t>. 4th ed. Thousand Oaks: SAGE Publications</w:t>
            </w:r>
            <w:r w:rsidRPr="00711938">
              <w:rPr>
                <w:color w:val="0D0D0D" w:themeColor="text1" w:themeTint="F2"/>
              </w:rPr>
              <w:t>, 2014.</w:t>
            </w:r>
          </w:p>
          <w:p w14:paraId="368EFC65" w14:textId="77777777" w:rsidR="00E06B1D" w:rsidRPr="00711938" w:rsidRDefault="00E06B1D" w:rsidP="00711938">
            <w:pPr>
              <w:pStyle w:val="TableParagraph"/>
              <w:widowControl/>
              <w:numPr>
                <w:ilvl w:val="0"/>
                <w:numId w:val="14"/>
              </w:numPr>
              <w:tabs>
                <w:tab w:val="left" w:pos="567"/>
              </w:tabs>
              <w:autoSpaceDE/>
              <w:autoSpaceDN/>
              <w:ind w:left="0" w:firstLine="218"/>
              <w:jc w:val="both"/>
            </w:pPr>
            <w:r w:rsidRPr="00711938">
              <w:rPr>
                <w:color w:val="0D0D0D" w:themeColor="text1" w:themeTint="F2"/>
              </w:rPr>
              <w:t xml:space="preserve">Eco Umberto. </w:t>
            </w:r>
            <w:r w:rsidRPr="00711938">
              <w:rPr>
                <w:i/>
                <w:iCs/>
                <w:color w:val="0D0D0D" w:themeColor="text1" w:themeTint="F2"/>
                <w:lang w:val="fr-FR"/>
              </w:rPr>
              <w:t>Dire presque la même chose. Expériences de traduction</w:t>
            </w:r>
            <w:r w:rsidRPr="00711938">
              <w:rPr>
                <w:color w:val="0D0D0D" w:themeColor="text1" w:themeTint="F2"/>
              </w:rPr>
              <w:t xml:space="preserve">. Paris, </w:t>
            </w:r>
            <w:r w:rsidRPr="00711938">
              <w:rPr>
                <w:color w:val="0D0D0D" w:themeColor="text1" w:themeTint="F2"/>
                <w:lang w:val="fr-FR"/>
              </w:rPr>
              <w:t xml:space="preserve">Editions </w:t>
            </w:r>
            <w:r w:rsidRPr="00711938">
              <w:rPr>
                <w:color w:val="0D0D0D" w:themeColor="text1" w:themeTint="F2"/>
              </w:rPr>
              <w:t>Bernard Graset, 2006.</w:t>
            </w:r>
          </w:p>
          <w:p w14:paraId="03A561E5" w14:textId="499A111A" w:rsidR="00E06B1D" w:rsidRPr="00711938" w:rsidRDefault="00E06B1D" w:rsidP="00711938">
            <w:pPr>
              <w:pStyle w:val="TableParagraph"/>
              <w:widowControl/>
              <w:numPr>
                <w:ilvl w:val="0"/>
                <w:numId w:val="14"/>
              </w:numPr>
              <w:tabs>
                <w:tab w:val="left" w:pos="567"/>
              </w:tabs>
              <w:autoSpaceDE/>
              <w:autoSpaceDN/>
              <w:ind w:left="0" w:firstLine="218"/>
              <w:jc w:val="both"/>
            </w:pPr>
            <w:r w:rsidRPr="00711938">
              <w:t>Helmut Felber (1984). Terminology Manual. Paris: UNESCO / Infoterm</w:t>
            </w:r>
          </w:p>
          <w:p w14:paraId="3DFDCACB" w14:textId="7AA93DB1" w:rsidR="00E06B1D" w:rsidRPr="00711938" w:rsidRDefault="00E06B1D" w:rsidP="00711938">
            <w:pPr>
              <w:pStyle w:val="TableParagraph"/>
              <w:numPr>
                <w:ilvl w:val="0"/>
                <w:numId w:val="14"/>
              </w:numPr>
              <w:ind w:left="0" w:firstLine="218"/>
              <w:jc w:val="both"/>
              <w:rPr>
                <w:color w:val="0D0D0D" w:themeColor="text1" w:themeTint="F2"/>
              </w:rPr>
            </w:pPr>
            <w:r w:rsidRPr="00711938">
              <w:rPr>
                <w:rStyle w:val="whitespace-normal"/>
              </w:rPr>
              <w:t>Rita Temmerman</w:t>
            </w:r>
            <w:r w:rsidRPr="00711938">
              <w:t xml:space="preserve"> (2000). </w:t>
            </w:r>
            <w:r w:rsidRPr="00711938">
              <w:rPr>
                <w:rStyle w:val="Emphasis"/>
              </w:rPr>
              <w:t>Towards New Ways of Terminology Description: The Sociocognitive Approach</w:t>
            </w:r>
            <w:r w:rsidRPr="00711938">
              <w:t>. Amsterdam / Philadelphia: John Benjamins.</w:t>
            </w:r>
          </w:p>
          <w:p w14:paraId="49331EA2" w14:textId="77777777" w:rsidR="00E06B1D" w:rsidRPr="00711938" w:rsidRDefault="00E06B1D" w:rsidP="00711938">
            <w:pPr>
              <w:pStyle w:val="TableParagraph"/>
              <w:numPr>
                <w:ilvl w:val="0"/>
                <w:numId w:val="14"/>
              </w:numPr>
              <w:ind w:left="0" w:firstLine="218"/>
              <w:jc w:val="both"/>
              <w:rPr>
                <w:color w:val="0D0D0D" w:themeColor="text1" w:themeTint="F2"/>
              </w:rPr>
            </w:pPr>
            <w:r w:rsidRPr="00711938">
              <w:rPr>
                <w:color w:val="0D0D0D" w:themeColor="text1" w:themeTint="F2"/>
              </w:rPr>
              <w:t xml:space="preserve">Kenny Dorothy. </w:t>
            </w:r>
            <w:r w:rsidRPr="00711938">
              <w:rPr>
                <w:i/>
                <w:iCs/>
                <w:color w:val="0D0D0D" w:themeColor="text1" w:themeTint="F2"/>
                <w:lang w:val="en-GB"/>
              </w:rPr>
              <w:t>Lexis and Creativity in Translation: A Corpus-Based Study</w:t>
            </w:r>
            <w:r w:rsidRPr="00711938">
              <w:rPr>
                <w:color w:val="0D0D0D" w:themeColor="text1" w:themeTint="F2"/>
              </w:rPr>
              <w:t>. Manchester: St. Jerome Publishing, 2001.</w:t>
            </w:r>
          </w:p>
          <w:p w14:paraId="492AF5C2" w14:textId="77777777" w:rsidR="00E06B1D" w:rsidRPr="00711938" w:rsidRDefault="00E06B1D" w:rsidP="00711938">
            <w:pPr>
              <w:pStyle w:val="TableParagraph"/>
              <w:numPr>
                <w:ilvl w:val="0"/>
                <w:numId w:val="14"/>
              </w:numPr>
              <w:ind w:left="0" w:firstLine="218"/>
              <w:jc w:val="both"/>
              <w:rPr>
                <w:color w:val="0D0D0D" w:themeColor="text1" w:themeTint="F2"/>
                <w:lang w:val="fr-FR"/>
              </w:rPr>
            </w:pPr>
            <w:r w:rsidRPr="00711938">
              <w:rPr>
                <w:color w:val="0D0D0D" w:themeColor="text1" w:themeTint="F2"/>
                <w:lang w:val="en-US"/>
              </w:rPr>
              <w:t xml:space="preserve">Krüger Ralph. </w:t>
            </w:r>
            <w:r w:rsidRPr="00711938">
              <w:rPr>
                <w:i/>
                <w:iCs/>
                <w:color w:val="0D0D0D" w:themeColor="text1" w:themeTint="F2"/>
                <w:lang w:val="en-GB"/>
              </w:rPr>
              <w:t>Corpus-Based Translation and Interpreting Studies</w:t>
            </w:r>
            <w:r w:rsidRPr="00711938">
              <w:rPr>
                <w:color w:val="0D0D0D" w:themeColor="text1" w:themeTint="F2"/>
                <w:lang w:val="en-GB"/>
              </w:rPr>
              <w:t>. Berlin, Language Science Press,</w:t>
            </w:r>
            <w:r w:rsidRPr="00711938">
              <w:rPr>
                <w:color w:val="0D0D0D" w:themeColor="text1" w:themeTint="F2"/>
                <w:lang w:val="fr-FR"/>
              </w:rPr>
              <w:t xml:space="preserve"> 2022.</w:t>
            </w:r>
          </w:p>
          <w:p w14:paraId="1022E334" w14:textId="77777777" w:rsidR="00E06B1D" w:rsidRPr="00711938" w:rsidRDefault="00E06B1D" w:rsidP="00711938">
            <w:pPr>
              <w:pStyle w:val="TableParagraph"/>
              <w:numPr>
                <w:ilvl w:val="0"/>
                <w:numId w:val="14"/>
              </w:numPr>
              <w:ind w:left="0" w:firstLine="218"/>
              <w:jc w:val="both"/>
              <w:rPr>
                <w:color w:val="0D0D0D" w:themeColor="text1" w:themeTint="F2"/>
              </w:rPr>
            </w:pPr>
            <w:r w:rsidRPr="00711938">
              <w:rPr>
                <w:color w:val="0D0D0D" w:themeColor="text1" w:themeTint="F2"/>
                <w:lang w:val="fr-FR"/>
              </w:rPr>
              <w:t xml:space="preserve">Lerat Pierre. </w:t>
            </w:r>
            <w:r w:rsidRPr="00711938">
              <w:rPr>
                <w:i/>
                <w:iCs/>
                <w:color w:val="0D0D0D" w:themeColor="text1" w:themeTint="F2"/>
                <w:lang w:val="fr-FR"/>
              </w:rPr>
              <w:t>Les langues spécialisées</w:t>
            </w:r>
            <w:r w:rsidRPr="00711938">
              <w:rPr>
                <w:color w:val="0D0D0D" w:themeColor="text1" w:themeTint="F2"/>
                <w:lang w:val="fr-FR"/>
              </w:rPr>
              <w:t>. Paris, Presses Universitaires de France</w:t>
            </w:r>
            <w:r w:rsidRPr="00711938">
              <w:rPr>
                <w:color w:val="0D0D0D" w:themeColor="text1" w:themeTint="F2"/>
              </w:rPr>
              <w:t>, 1995.</w:t>
            </w:r>
          </w:p>
          <w:p w14:paraId="2572FF8F" w14:textId="77777777" w:rsidR="00E06B1D" w:rsidRPr="00711938" w:rsidRDefault="00E06B1D" w:rsidP="00711938">
            <w:pPr>
              <w:pStyle w:val="TableParagraph"/>
              <w:numPr>
                <w:ilvl w:val="0"/>
                <w:numId w:val="14"/>
              </w:numPr>
              <w:ind w:left="0" w:firstLine="218"/>
              <w:jc w:val="both"/>
              <w:rPr>
                <w:color w:val="0D0D0D" w:themeColor="text1" w:themeTint="F2"/>
              </w:rPr>
            </w:pPr>
            <w:r w:rsidRPr="00711938">
              <w:rPr>
                <w:color w:val="0D0D0D" w:themeColor="text1" w:themeTint="F2"/>
              </w:rPr>
              <w:t xml:space="preserve">Lungu Badea Georgiana. </w:t>
            </w:r>
            <w:r w:rsidRPr="00711938">
              <w:rPr>
                <w:i/>
                <w:iCs/>
                <w:color w:val="0D0D0D" w:themeColor="text1" w:themeTint="F2"/>
              </w:rPr>
              <w:t>Tendințe în cercetarea traductologică</w:t>
            </w:r>
            <w:r w:rsidRPr="00711938">
              <w:rPr>
                <w:color w:val="0D0D0D" w:themeColor="text1" w:themeTint="F2"/>
              </w:rPr>
              <w:t>. Timișoara, Editura Universității de Vest, 2005.</w:t>
            </w:r>
          </w:p>
          <w:p w14:paraId="47C2D73B" w14:textId="77777777" w:rsidR="00E06B1D" w:rsidRPr="00711938" w:rsidRDefault="00E06B1D" w:rsidP="00711938">
            <w:pPr>
              <w:pStyle w:val="TableParagraph"/>
              <w:numPr>
                <w:ilvl w:val="0"/>
                <w:numId w:val="14"/>
              </w:numPr>
              <w:ind w:left="0" w:firstLine="218"/>
              <w:jc w:val="both"/>
              <w:rPr>
                <w:color w:val="0D0D0D" w:themeColor="text1" w:themeTint="F2"/>
                <w:lang w:val="en-GB"/>
              </w:rPr>
            </w:pPr>
            <w:r w:rsidRPr="00711938">
              <w:rPr>
                <w:color w:val="0D0D0D" w:themeColor="text1" w:themeTint="F2"/>
              </w:rPr>
              <w:t xml:space="preserve">Meyer Ingrid. </w:t>
            </w:r>
            <w:r w:rsidRPr="00711938">
              <w:rPr>
                <w:i/>
                <w:iCs/>
                <w:color w:val="0D0D0D" w:themeColor="text1" w:themeTint="F2"/>
                <w:lang w:val="en-GB"/>
              </w:rPr>
              <w:t>Explaining Terminology: Traditional and Computational Approaches</w:t>
            </w:r>
            <w:r w:rsidRPr="00711938">
              <w:rPr>
                <w:color w:val="0D0D0D" w:themeColor="text1" w:themeTint="F2"/>
                <w:lang w:val="en-GB"/>
              </w:rPr>
              <w:t>. Amsterdam/Philadelphia: John Benjamins, 2001.</w:t>
            </w:r>
          </w:p>
          <w:p w14:paraId="18C7DAD0" w14:textId="77777777" w:rsidR="00E06B1D" w:rsidRPr="00711938" w:rsidRDefault="00E06B1D" w:rsidP="00711938">
            <w:pPr>
              <w:pStyle w:val="TableParagraph"/>
              <w:numPr>
                <w:ilvl w:val="0"/>
                <w:numId w:val="14"/>
              </w:numPr>
              <w:ind w:left="0" w:firstLine="218"/>
              <w:jc w:val="both"/>
              <w:rPr>
                <w:color w:val="0D0D0D" w:themeColor="text1" w:themeTint="F2"/>
              </w:rPr>
            </w:pPr>
            <w:r w:rsidRPr="00711938">
              <w:rPr>
                <w:color w:val="0D0D0D" w:themeColor="text1" w:themeTint="F2"/>
              </w:rPr>
              <w:t xml:space="preserve">Mounin Georges. </w:t>
            </w:r>
            <w:r w:rsidRPr="00711938">
              <w:rPr>
                <w:i/>
                <w:iCs/>
                <w:color w:val="0D0D0D" w:themeColor="text1" w:themeTint="F2"/>
                <w:lang w:val="fr-FR"/>
              </w:rPr>
              <w:t>Les problèmes théoriques de la traduction</w:t>
            </w:r>
            <w:r w:rsidRPr="00711938">
              <w:rPr>
                <w:color w:val="0D0D0D" w:themeColor="text1" w:themeTint="F2"/>
              </w:rPr>
              <w:t>. Paris, Gallimard, 1963.</w:t>
            </w:r>
          </w:p>
          <w:p w14:paraId="46221203" w14:textId="77777777" w:rsidR="00E06B1D" w:rsidRPr="00711938" w:rsidRDefault="00E06B1D" w:rsidP="00711938">
            <w:pPr>
              <w:pStyle w:val="TableParagraph"/>
              <w:numPr>
                <w:ilvl w:val="0"/>
                <w:numId w:val="14"/>
              </w:numPr>
              <w:ind w:left="0" w:firstLine="218"/>
              <w:jc w:val="both"/>
              <w:rPr>
                <w:color w:val="0D0D0D" w:themeColor="text1" w:themeTint="F2"/>
              </w:rPr>
            </w:pPr>
            <w:r w:rsidRPr="00711938">
              <w:rPr>
                <w:color w:val="0D0D0D" w:themeColor="text1" w:themeTint="F2"/>
              </w:rPr>
              <w:t xml:space="preserve">Nord Cristian. </w:t>
            </w:r>
            <w:r w:rsidRPr="00711938">
              <w:rPr>
                <w:i/>
                <w:iCs/>
                <w:color w:val="0D0D0D" w:themeColor="text1" w:themeTint="F2"/>
                <w:lang w:val="fr-FR"/>
              </w:rPr>
              <w:t>La traduction : une action ciblée. Introduction aux approches fonctionnalistes</w:t>
            </w:r>
            <w:r w:rsidRPr="00711938">
              <w:rPr>
                <w:color w:val="0D0D0D" w:themeColor="text1" w:themeTint="F2"/>
              </w:rPr>
              <w:t xml:space="preserve">. Artois, </w:t>
            </w:r>
            <w:r w:rsidRPr="00711938">
              <w:rPr>
                <w:color w:val="0D0D0D" w:themeColor="text1" w:themeTint="F2"/>
                <w:lang w:val="fr-FR"/>
              </w:rPr>
              <w:t>Presse Université</w:t>
            </w:r>
            <w:r w:rsidRPr="00711938">
              <w:rPr>
                <w:color w:val="0D0D0D" w:themeColor="text1" w:themeTint="F2"/>
              </w:rPr>
              <w:t>, 2008.</w:t>
            </w:r>
          </w:p>
          <w:p w14:paraId="2419DCA0" w14:textId="77777777" w:rsidR="00E06B1D" w:rsidRPr="00711938" w:rsidRDefault="00E06B1D" w:rsidP="00711938">
            <w:pPr>
              <w:pStyle w:val="TableParagraph"/>
              <w:numPr>
                <w:ilvl w:val="0"/>
                <w:numId w:val="14"/>
              </w:numPr>
              <w:ind w:left="0" w:firstLine="218"/>
              <w:jc w:val="both"/>
              <w:rPr>
                <w:color w:val="0D0D0D" w:themeColor="text1" w:themeTint="F2"/>
              </w:rPr>
            </w:pPr>
            <w:r w:rsidRPr="00711938">
              <w:rPr>
                <w:color w:val="0D0D0D" w:themeColor="text1" w:themeTint="F2"/>
              </w:rPr>
              <w:t xml:space="preserve">Rey-Debove Josette. </w:t>
            </w:r>
            <w:r w:rsidRPr="00711938">
              <w:rPr>
                <w:i/>
                <w:iCs/>
                <w:color w:val="0D0D0D" w:themeColor="text1" w:themeTint="F2"/>
                <w:lang w:val="fr-FR"/>
              </w:rPr>
              <w:t>Étude linguistique et sémiotique des dictionnaires français contemporains</w:t>
            </w:r>
            <w:r w:rsidRPr="00711938">
              <w:rPr>
                <w:color w:val="0D0D0D" w:themeColor="text1" w:themeTint="F2"/>
                <w:lang w:val="fr-FR"/>
              </w:rPr>
              <w:t>. La Haye : Mouton</w:t>
            </w:r>
            <w:r w:rsidRPr="00711938">
              <w:rPr>
                <w:color w:val="0D0D0D" w:themeColor="text1" w:themeTint="F2"/>
              </w:rPr>
              <w:t>, 1971.</w:t>
            </w:r>
          </w:p>
          <w:p w14:paraId="0F31B04F" w14:textId="77777777" w:rsidR="00E06B1D" w:rsidRPr="00711938" w:rsidRDefault="00E06B1D" w:rsidP="00711938">
            <w:pPr>
              <w:pStyle w:val="TableParagraph"/>
              <w:numPr>
                <w:ilvl w:val="0"/>
                <w:numId w:val="14"/>
              </w:numPr>
              <w:ind w:left="0" w:firstLine="218"/>
              <w:jc w:val="both"/>
              <w:rPr>
                <w:color w:val="0D0D0D" w:themeColor="text1" w:themeTint="F2"/>
                <w:lang w:val="en-US"/>
              </w:rPr>
            </w:pPr>
            <w:r w:rsidRPr="00711938">
              <w:rPr>
                <w:color w:val="0D0D0D" w:themeColor="text1" w:themeTint="F2"/>
                <w:lang w:val="fr-FR"/>
              </w:rPr>
              <w:t xml:space="preserve">Sinclair John. </w:t>
            </w:r>
            <w:r w:rsidRPr="00711938">
              <w:rPr>
                <w:i/>
                <w:iCs/>
                <w:color w:val="0D0D0D" w:themeColor="text1" w:themeTint="F2"/>
                <w:lang w:val="en-US"/>
              </w:rPr>
              <w:t>Corpus, Concordance, Collocation</w:t>
            </w:r>
            <w:r w:rsidRPr="00711938">
              <w:rPr>
                <w:color w:val="0D0D0D" w:themeColor="text1" w:themeTint="F2"/>
                <w:lang w:val="en-US"/>
              </w:rPr>
              <w:t>. Oxford, Oxford University Press, 1991.</w:t>
            </w:r>
          </w:p>
          <w:p w14:paraId="00457370" w14:textId="77777777" w:rsidR="00E06B1D" w:rsidRPr="00711938" w:rsidRDefault="00E06B1D" w:rsidP="00711938">
            <w:pPr>
              <w:pStyle w:val="TableParagraph"/>
              <w:numPr>
                <w:ilvl w:val="0"/>
                <w:numId w:val="14"/>
              </w:numPr>
              <w:ind w:left="0" w:firstLine="218"/>
              <w:jc w:val="both"/>
              <w:rPr>
                <w:color w:val="0D0D0D" w:themeColor="text1" w:themeTint="F2"/>
              </w:rPr>
            </w:pPr>
            <w:r w:rsidRPr="00711938">
              <w:rPr>
                <w:color w:val="0D0D0D" w:themeColor="text1" w:themeTint="F2"/>
                <w:lang w:val="en-GB"/>
              </w:rPr>
              <w:t xml:space="preserve">Zanettin Federico. </w:t>
            </w:r>
            <w:r w:rsidRPr="00711938">
              <w:rPr>
                <w:i/>
                <w:iCs/>
                <w:color w:val="0D0D0D" w:themeColor="text1" w:themeTint="F2"/>
                <w:lang w:val="en-GB"/>
              </w:rPr>
              <w:t>Translation-Driven Corpora: Corpus Resources for Descriptive and Applied Translation Studies</w:t>
            </w:r>
            <w:r w:rsidRPr="00711938">
              <w:rPr>
                <w:color w:val="0D0D0D" w:themeColor="text1" w:themeTint="F2"/>
              </w:rPr>
              <w:t>. London/New York, Routledge, 2018.</w:t>
            </w:r>
          </w:p>
          <w:p w14:paraId="4F4B2800" w14:textId="77777777" w:rsidR="00E06B1D" w:rsidRPr="00711938" w:rsidRDefault="00E06B1D" w:rsidP="00711938">
            <w:pPr>
              <w:widowControl/>
              <w:autoSpaceDE/>
              <w:autoSpaceDN/>
              <w:ind w:firstLine="218"/>
              <w:jc w:val="both"/>
              <w:rPr>
                <w:lang w:val="en-US"/>
              </w:rPr>
            </w:pPr>
          </w:p>
          <w:p w14:paraId="169C5813" w14:textId="77777777" w:rsidR="00E06B1D" w:rsidRPr="00711938" w:rsidRDefault="00E06B1D" w:rsidP="00711938">
            <w:pPr>
              <w:pStyle w:val="TableParagraph"/>
              <w:numPr>
                <w:ilvl w:val="0"/>
                <w:numId w:val="3"/>
              </w:numPr>
              <w:ind w:left="0" w:firstLine="218"/>
              <w:jc w:val="both"/>
              <w:rPr>
                <w:color w:val="0D0D0D" w:themeColor="text1" w:themeTint="F2"/>
              </w:rPr>
            </w:pPr>
            <w:r w:rsidRPr="00711938">
              <w:rPr>
                <w:color w:val="0000FF"/>
              </w:rPr>
              <w:t>IATE</w:t>
            </w:r>
            <w:r w:rsidRPr="00711938">
              <w:rPr>
                <w:color w:val="0D0D0D" w:themeColor="text1" w:themeTint="F2"/>
              </w:rPr>
              <w:t xml:space="preserve"> (Interactive Terminology for Europe) – baza de date terminologică multilingvă a Uniunii Europene, utilizată pentru colectarea și gestionarea terminologiei în numeroase domenii</w:t>
            </w:r>
          </w:p>
          <w:p w14:paraId="06EB9C0F" w14:textId="77777777" w:rsidR="00E06B1D" w:rsidRPr="00711938" w:rsidRDefault="00E06B1D" w:rsidP="00711938">
            <w:pPr>
              <w:pStyle w:val="TableParagraph"/>
              <w:numPr>
                <w:ilvl w:val="0"/>
                <w:numId w:val="3"/>
              </w:numPr>
              <w:ind w:left="0" w:firstLine="218"/>
              <w:jc w:val="both"/>
              <w:rPr>
                <w:color w:val="0D0D0D" w:themeColor="text1" w:themeTint="F2"/>
              </w:rPr>
            </w:pPr>
            <w:r w:rsidRPr="00711938">
              <w:rPr>
                <w:color w:val="0000FF"/>
              </w:rPr>
              <w:lastRenderedPageBreak/>
              <w:t xml:space="preserve">Sketch Engine </w:t>
            </w:r>
            <w:r w:rsidRPr="00711938">
              <w:rPr>
                <w:color w:val="0D0D0D" w:themeColor="text1" w:themeTint="F2"/>
              </w:rPr>
              <w:t>– platformă de analiză a corpusurilor lingvistice, utilizată în lexicografie și cercetare lingvistică pentru interogarea și analiza textelor</w:t>
            </w:r>
          </w:p>
          <w:p w14:paraId="17CEA60C" w14:textId="77777777" w:rsidR="00E06B1D" w:rsidRPr="00711938" w:rsidRDefault="00E06B1D" w:rsidP="00711938">
            <w:pPr>
              <w:pStyle w:val="TableParagraph"/>
              <w:numPr>
                <w:ilvl w:val="0"/>
                <w:numId w:val="3"/>
              </w:numPr>
              <w:ind w:left="0" w:firstLine="218"/>
              <w:jc w:val="both"/>
              <w:rPr>
                <w:color w:val="0D0D0D" w:themeColor="text1" w:themeTint="F2"/>
              </w:rPr>
            </w:pPr>
            <w:r w:rsidRPr="00711938">
              <w:rPr>
                <w:color w:val="0000FF"/>
              </w:rPr>
              <w:t>EuroVoc</w:t>
            </w:r>
            <w:r w:rsidRPr="00711938">
              <w:rPr>
                <w:color w:val="0D0D0D" w:themeColor="text1" w:themeTint="F2"/>
              </w:rPr>
              <w:t xml:space="preserve"> – tezaur multilingv utilizat pentru indexarea și organizarea informației în contexte instituționale</w:t>
            </w:r>
          </w:p>
          <w:p w14:paraId="6DC4CF7B" w14:textId="77777777" w:rsidR="00E06B1D" w:rsidRPr="00711938" w:rsidRDefault="00E06B1D" w:rsidP="00711938">
            <w:pPr>
              <w:pStyle w:val="TableParagraph"/>
              <w:numPr>
                <w:ilvl w:val="0"/>
                <w:numId w:val="3"/>
              </w:numPr>
              <w:ind w:left="0" w:firstLine="218"/>
              <w:jc w:val="both"/>
              <w:rPr>
                <w:color w:val="0D0D0D" w:themeColor="text1" w:themeTint="F2"/>
              </w:rPr>
            </w:pPr>
            <w:r w:rsidRPr="00711938">
              <w:rPr>
                <w:color w:val="0000FF"/>
              </w:rPr>
              <w:t>TermoStat</w:t>
            </w:r>
            <w:r w:rsidRPr="00711938">
              <w:rPr>
                <w:color w:val="0D0D0D" w:themeColor="text1" w:themeTint="F2"/>
              </w:rPr>
              <w:t xml:space="preserve"> – instrument de extragere automată a termenilor din corpusuri specializate</w:t>
            </w:r>
          </w:p>
          <w:p w14:paraId="32589992" w14:textId="77777777" w:rsidR="00E06B1D" w:rsidRPr="00711938" w:rsidRDefault="00E06B1D" w:rsidP="00711938">
            <w:pPr>
              <w:pStyle w:val="TableParagraph"/>
              <w:numPr>
                <w:ilvl w:val="0"/>
                <w:numId w:val="3"/>
              </w:numPr>
              <w:ind w:left="0" w:firstLine="218"/>
              <w:jc w:val="both"/>
              <w:rPr>
                <w:color w:val="0D0D0D" w:themeColor="text1" w:themeTint="F2"/>
              </w:rPr>
            </w:pPr>
            <w:r w:rsidRPr="00711938">
              <w:rPr>
                <w:color w:val="0000FF"/>
              </w:rPr>
              <w:t>AntConc</w:t>
            </w:r>
            <w:r w:rsidRPr="00711938">
              <w:rPr>
                <w:color w:val="0D0D0D" w:themeColor="text1" w:themeTint="F2"/>
              </w:rPr>
              <w:t xml:space="preserve"> – software gratuit pentru analiza concordanțelor și studiul corpusurilor</w:t>
            </w:r>
          </w:p>
          <w:p w14:paraId="0C08417F" w14:textId="77777777" w:rsidR="00E06B1D" w:rsidRPr="00711938" w:rsidRDefault="00E06B1D" w:rsidP="00711938">
            <w:pPr>
              <w:pStyle w:val="TableParagraph"/>
              <w:numPr>
                <w:ilvl w:val="0"/>
                <w:numId w:val="3"/>
              </w:numPr>
              <w:ind w:left="0" w:firstLine="218"/>
              <w:jc w:val="both"/>
              <w:rPr>
                <w:color w:val="0D0D0D" w:themeColor="text1" w:themeTint="F2"/>
              </w:rPr>
            </w:pPr>
            <w:r w:rsidRPr="00711938">
              <w:rPr>
                <w:color w:val="0000FF"/>
              </w:rPr>
              <w:t xml:space="preserve">SDL Trados Studio </w:t>
            </w:r>
            <w:r w:rsidRPr="00711938">
              <w:rPr>
                <w:color w:val="0D0D0D" w:themeColor="text1" w:themeTint="F2"/>
              </w:rPr>
              <w:t>– instrument de traducere asistată de calculator pentru gestionarea memoriilor de traducere și a terminologiei</w:t>
            </w:r>
          </w:p>
          <w:p w14:paraId="33C5553E" w14:textId="77777777" w:rsidR="00E06B1D" w:rsidRPr="00711938" w:rsidRDefault="00E06B1D" w:rsidP="00711938">
            <w:pPr>
              <w:pStyle w:val="TableParagraph"/>
              <w:numPr>
                <w:ilvl w:val="0"/>
                <w:numId w:val="3"/>
              </w:numPr>
              <w:ind w:left="0" w:firstLine="218"/>
              <w:jc w:val="both"/>
              <w:rPr>
                <w:color w:val="0D0D0D" w:themeColor="text1" w:themeTint="F2"/>
              </w:rPr>
            </w:pPr>
            <w:r w:rsidRPr="00711938">
              <w:rPr>
                <w:color w:val="0000FF"/>
              </w:rPr>
              <w:t>MemoQ</w:t>
            </w:r>
            <w:r w:rsidRPr="00711938">
              <w:rPr>
                <w:color w:val="0D0D0D" w:themeColor="text1" w:themeTint="F2"/>
              </w:rPr>
              <w:t xml:space="preserve"> – platformă profesională pentru traducere asistată și management terminologic</w:t>
            </w:r>
          </w:p>
          <w:p w14:paraId="3463F687" w14:textId="77777777" w:rsidR="00E06B1D" w:rsidRPr="00711938" w:rsidRDefault="00E06B1D" w:rsidP="00711938">
            <w:pPr>
              <w:pStyle w:val="TableParagraph"/>
              <w:numPr>
                <w:ilvl w:val="0"/>
                <w:numId w:val="3"/>
              </w:numPr>
              <w:ind w:left="0" w:firstLine="218"/>
              <w:jc w:val="both"/>
              <w:rPr>
                <w:color w:val="0D0D0D" w:themeColor="text1" w:themeTint="F2"/>
              </w:rPr>
            </w:pPr>
            <w:r w:rsidRPr="00711938">
              <w:rPr>
                <w:color w:val="0000FF"/>
              </w:rPr>
              <w:t>Wordfast</w:t>
            </w:r>
            <w:r w:rsidRPr="00711938">
              <w:rPr>
                <w:color w:val="0D0D0D" w:themeColor="text1" w:themeTint="F2"/>
              </w:rPr>
              <w:t xml:space="preserve"> – instrument CAT utilizat pentru optimizarea procesului de traducere</w:t>
            </w:r>
          </w:p>
          <w:p w14:paraId="79F56C0F" w14:textId="77777777" w:rsidR="00E06B1D" w:rsidRPr="00711938" w:rsidRDefault="00E06B1D" w:rsidP="00711938">
            <w:pPr>
              <w:pStyle w:val="TableParagraph"/>
              <w:numPr>
                <w:ilvl w:val="0"/>
                <w:numId w:val="3"/>
              </w:numPr>
              <w:ind w:left="0" w:firstLine="218"/>
              <w:jc w:val="both"/>
              <w:rPr>
                <w:color w:val="0D0D0D" w:themeColor="text1" w:themeTint="F2"/>
              </w:rPr>
            </w:pPr>
            <w:r w:rsidRPr="00711938">
              <w:rPr>
                <w:color w:val="0000FF"/>
              </w:rPr>
              <w:t>FAIRterm</w:t>
            </w:r>
            <w:r w:rsidRPr="00711938">
              <w:rPr>
                <w:color w:val="0D0D0D" w:themeColor="text1" w:themeTint="F2"/>
              </w:rPr>
              <w:t xml:space="preserve"> – aplicație pentru gestionarea terminologiei conform principiilor FAIR</w:t>
            </w:r>
          </w:p>
          <w:p w14:paraId="33B88BA1" w14:textId="13237B1D" w:rsidR="00E06B1D" w:rsidRPr="00711938" w:rsidRDefault="00E06B1D" w:rsidP="00711938">
            <w:pPr>
              <w:pStyle w:val="TableParagraph"/>
              <w:widowControl/>
              <w:numPr>
                <w:ilvl w:val="0"/>
                <w:numId w:val="3"/>
              </w:numPr>
              <w:autoSpaceDE/>
              <w:autoSpaceDN/>
              <w:ind w:left="0" w:firstLine="218"/>
              <w:jc w:val="both"/>
              <w:rPr>
                <w:lang w:val="en-US"/>
              </w:rPr>
            </w:pPr>
            <w:r w:rsidRPr="00711938">
              <w:rPr>
                <w:color w:val="0000FF"/>
              </w:rPr>
              <w:t>EcoLexicon</w:t>
            </w:r>
            <w:r w:rsidRPr="00711938">
              <w:rPr>
                <w:color w:val="0D0D0D" w:themeColor="text1" w:themeTint="F2"/>
              </w:rPr>
              <w:t xml:space="preserve"> – bază de cunoștințe terminologice specializate (mediu), bazată pe corpusuri</w:t>
            </w:r>
            <w:r w:rsidR="00711938" w:rsidRPr="00711938">
              <w:rPr>
                <w:color w:val="0D0D0D" w:themeColor="text1" w:themeTint="F2"/>
              </w:rPr>
              <w:t>.</w:t>
            </w:r>
          </w:p>
        </w:tc>
      </w:tr>
    </w:tbl>
    <w:p w14:paraId="04EBD466" w14:textId="77777777" w:rsidR="001C2435" w:rsidRPr="00711938" w:rsidRDefault="001C2435" w:rsidP="00711938"/>
    <w:sectPr w:rsidR="001C2435" w:rsidRPr="00711938">
      <w:type w:val="continuous"/>
      <w:pgSz w:w="11910" w:h="16840"/>
      <w:pgMar w:top="1040" w:right="566" w:bottom="280" w:left="56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E39C4"/>
    <w:multiLevelType w:val="hybridMultilevel"/>
    <w:tmpl w:val="262CEEEA"/>
    <w:lvl w:ilvl="0" w:tplc="1AD6E05A">
      <w:start w:val="1"/>
      <w:numFmt w:val="lowerLetter"/>
      <w:lvlText w:val="%1."/>
      <w:lvlJc w:val="left"/>
      <w:pPr>
        <w:ind w:left="720" w:hanging="360"/>
      </w:pPr>
      <w:rPr>
        <w:rFonts w:ascii="Times New Roman" w:eastAsia="Times New Roman" w:hAnsi="Times New Roman" w:cs="Times New Roman"/>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D6E58E4"/>
    <w:multiLevelType w:val="multilevel"/>
    <w:tmpl w:val="BBDEA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5F43F5"/>
    <w:multiLevelType w:val="hybridMultilevel"/>
    <w:tmpl w:val="50C27FFA"/>
    <w:lvl w:ilvl="0" w:tplc="3AB6E73E">
      <w:start w:val="1"/>
      <w:numFmt w:val="lowerLetter"/>
      <w:lvlText w:val="%1."/>
      <w:lvlJc w:val="left"/>
      <w:pPr>
        <w:ind w:left="720" w:hanging="360"/>
      </w:pPr>
      <w:rPr>
        <w:rFonts w:ascii="Times New Roman" w:eastAsia="Times New Roman" w:hAnsi="Times New Roman" w:cs="Times New Roman"/>
        <w:b w:val="0"/>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5895A6A"/>
    <w:multiLevelType w:val="hybridMultilevel"/>
    <w:tmpl w:val="B052B356"/>
    <w:lvl w:ilvl="0" w:tplc="0409000F">
      <w:start w:val="1"/>
      <w:numFmt w:val="decimal"/>
      <w:lvlText w:val="%1."/>
      <w:lvlJc w:val="left"/>
      <w:pPr>
        <w:ind w:left="806" w:hanging="360"/>
      </w:p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4" w15:restartNumberingAfterBreak="0">
    <w:nsid w:val="27A93F52"/>
    <w:multiLevelType w:val="multilevel"/>
    <w:tmpl w:val="D8A00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F5789A"/>
    <w:multiLevelType w:val="hybridMultilevel"/>
    <w:tmpl w:val="01E8A1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6214E2"/>
    <w:multiLevelType w:val="hybridMultilevel"/>
    <w:tmpl w:val="8E026FF2"/>
    <w:lvl w:ilvl="0" w:tplc="97F41BCC">
      <w:start w:val="1"/>
      <w:numFmt w:val="decimal"/>
      <w:lvlText w:val="%1."/>
      <w:lvlJc w:val="left"/>
      <w:pPr>
        <w:ind w:left="426" w:hanging="284"/>
      </w:pPr>
      <w:rPr>
        <w:rFonts w:ascii="Times New Roman" w:eastAsia="Times New Roman" w:hAnsi="Times New Roman" w:cs="Times New Roman" w:hint="default"/>
        <w:spacing w:val="0"/>
        <w:w w:val="99"/>
        <w:sz w:val="20"/>
        <w:szCs w:val="20"/>
        <w:lang w:val="ro-RO" w:eastAsia="en-US" w:bidi="ar-SA"/>
      </w:rPr>
    </w:lvl>
    <w:lvl w:ilvl="1" w:tplc="B828680C">
      <w:numFmt w:val="bullet"/>
      <w:lvlText w:val="•"/>
      <w:lvlJc w:val="left"/>
      <w:pPr>
        <w:ind w:left="1328" w:hanging="284"/>
      </w:pPr>
      <w:rPr>
        <w:rFonts w:hint="default"/>
        <w:lang w:val="ro-RO" w:eastAsia="en-US" w:bidi="ar-SA"/>
      </w:rPr>
    </w:lvl>
    <w:lvl w:ilvl="2" w:tplc="19CC09DA">
      <w:numFmt w:val="bullet"/>
      <w:lvlText w:val="•"/>
      <w:lvlJc w:val="left"/>
      <w:pPr>
        <w:ind w:left="2236" w:hanging="284"/>
      </w:pPr>
      <w:rPr>
        <w:rFonts w:hint="default"/>
        <w:lang w:val="ro-RO" w:eastAsia="en-US" w:bidi="ar-SA"/>
      </w:rPr>
    </w:lvl>
    <w:lvl w:ilvl="3" w:tplc="69822DAE">
      <w:numFmt w:val="bullet"/>
      <w:lvlText w:val="•"/>
      <w:lvlJc w:val="left"/>
      <w:pPr>
        <w:ind w:left="3145" w:hanging="284"/>
      </w:pPr>
      <w:rPr>
        <w:rFonts w:hint="default"/>
        <w:lang w:val="ro-RO" w:eastAsia="en-US" w:bidi="ar-SA"/>
      </w:rPr>
    </w:lvl>
    <w:lvl w:ilvl="4" w:tplc="C1C432EC">
      <w:numFmt w:val="bullet"/>
      <w:lvlText w:val="•"/>
      <w:lvlJc w:val="left"/>
      <w:pPr>
        <w:ind w:left="4053" w:hanging="284"/>
      </w:pPr>
      <w:rPr>
        <w:rFonts w:hint="default"/>
        <w:lang w:val="ro-RO" w:eastAsia="en-US" w:bidi="ar-SA"/>
      </w:rPr>
    </w:lvl>
    <w:lvl w:ilvl="5" w:tplc="132CDBFE">
      <w:numFmt w:val="bullet"/>
      <w:lvlText w:val="•"/>
      <w:lvlJc w:val="left"/>
      <w:pPr>
        <w:ind w:left="4962" w:hanging="284"/>
      </w:pPr>
      <w:rPr>
        <w:rFonts w:hint="default"/>
        <w:lang w:val="ro-RO" w:eastAsia="en-US" w:bidi="ar-SA"/>
      </w:rPr>
    </w:lvl>
    <w:lvl w:ilvl="6" w:tplc="5714129A">
      <w:numFmt w:val="bullet"/>
      <w:lvlText w:val="•"/>
      <w:lvlJc w:val="left"/>
      <w:pPr>
        <w:ind w:left="5870" w:hanging="284"/>
      </w:pPr>
      <w:rPr>
        <w:rFonts w:hint="default"/>
        <w:lang w:val="ro-RO" w:eastAsia="en-US" w:bidi="ar-SA"/>
      </w:rPr>
    </w:lvl>
    <w:lvl w:ilvl="7" w:tplc="1902B09E">
      <w:numFmt w:val="bullet"/>
      <w:lvlText w:val="•"/>
      <w:lvlJc w:val="left"/>
      <w:pPr>
        <w:ind w:left="6778" w:hanging="284"/>
      </w:pPr>
      <w:rPr>
        <w:rFonts w:hint="default"/>
        <w:lang w:val="ro-RO" w:eastAsia="en-US" w:bidi="ar-SA"/>
      </w:rPr>
    </w:lvl>
    <w:lvl w:ilvl="8" w:tplc="4BE85204">
      <w:numFmt w:val="bullet"/>
      <w:lvlText w:val="•"/>
      <w:lvlJc w:val="left"/>
      <w:pPr>
        <w:ind w:left="7687" w:hanging="284"/>
      </w:pPr>
      <w:rPr>
        <w:rFonts w:hint="default"/>
        <w:lang w:val="ro-RO" w:eastAsia="en-US" w:bidi="ar-SA"/>
      </w:rPr>
    </w:lvl>
  </w:abstractNum>
  <w:abstractNum w:abstractNumId="7" w15:restartNumberingAfterBreak="0">
    <w:nsid w:val="2ECD2434"/>
    <w:multiLevelType w:val="hybridMultilevel"/>
    <w:tmpl w:val="44108B7A"/>
    <w:lvl w:ilvl="0" w:tplc="FFFFFFFF">
      <w:start w:val="1"/>
      <w:numFmt w:val="decimal"/>
      <w:lvlText w:val="%1."/>
      <w:lvlJc w:val="left"/>
      <w:pPr>
        <w:ind w:left="862" w:hanging="360"/>
      </w:p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8" w15:restartNumberingAfterBreak="0">
    <w:nsid w:val="3DB17C05"/>
    <w:multiLevelType w:val="hybridMultilevel"/>
    <w:tmpl w:val="5A68A788"/>
    <w:lvl w:ilvl="0" w:tplc="08180001">
      <w:start w:val="1"/>
      <w:numFmt w:val="bullet"/>
      <w:lvlText w:val=""/>
      <w:lvlJc w:val="left"/>
      <w:pPr>
        <w:ind w:left="1222" w:hanging="360"/>
      </w:pPr>
      <w:rPr>
        <w:rFonts w:ascii="Symbol" w:hAnsi="Symbol" w:hint="default"/>
      </w:rPr>
    </w:lvl>
    <w:lvl w:ilvl="1" w:tplc="08180003" w:tentative="1">
      <w:start w:val="1"/>
      <w:numFmt w:val="bullet"/>
      <w:lvlText w:val="o"/>
      <w:lvlJc w:val="left"/>
      <w:pPr>
        <w:ind w:left="1942" w:hanging="360"/>
      </w:pPr>
      <w:rPr>
        <w:rFonts w:ascii="Courier New" w:hAnsi="Courier New" w:cs="Courier New" w:hint="default"/>
      </w:rPr>
    </w:lvl>
    <w:lvl w:ilvl="2" w:tplc="08180005" w:tentative="1">
      <w:start w:val="1"/>
      <w:numFmt w:val="bullet"/>
      <w:lvlText w:val=""/>
      <w:lvlJc w:val="left"/>
      <w:pPr>
        <w:ind w:left="2662" w:hanging="360"/>
      </w:pPr>
      <w:rPr>
        <w:rFonts w:ascii="Wingdings" w:hAnsi="Wingdings" w:hint="default"/>
      </w:rPr>
    </w:lvl>
    <w:lvl w:ilvl="3" w:tplc="08180001" w:tentative="1">
      <w:start w:val="1"/>
      <w:numFmt w:val="bullet"/>
      <w:lvlText w:val=""/>
      <w:lvlJc w:val="left"/>
      <w:pPr>
        <w:ind w:left="3382" w:hanging="360"/>
      </w:pPr>
      <w:rPr>
        <w:rFonts w:ascii="Symbol" w:hAnsi="Symbol" w:hint="default"/>
      </w:rPr>
    </w:lvl>
    <w:lvl w:ilvl="4" w:tplc="08180003" w:tentative="1">
      <w:start w:val="1"/>
      <w:numFmt w:val="bullet"/>
      <w:lvlText w:val="o"/>
      <w:lvlJc w:val="left"/>
      <w:pPr>
        <w:ind w:left="4102" w:hanging="360"/>
      </w:pPr>
      <w:rPr>
        <w:rFonts w:ascii="Courier New" w:hAnsi="Courier New" w:cs="Courier New" w:hint="default"/>
      </w:rPr>
    </w:lvl>
    <w:lvl w:ilvl="5" w:tplc="08180005" w:tentative="1">
      <w:start w:val="1"/>
      <w:numFmt w:val="bullet"/>
      <w:lvlText w:val=""/>
      <w:lvlJc w:val="left"/>
      <w:pPr>
        <w:ind w:left="4822" w:hanging="360"/>
      </w:pPr>
      <w:rPr>
        <w:rFonts w:ascii="Wingdings" w:hAnsi="Wingdings" w:hint="default"/>
      </w:rPr>
    </w:lvl>
    <w:lvl w:ilvl="6" w:tplc="08180001" w:tentative="1">
      <w:start w:val="1"/>
      <w:numFmt w:val="bullet"/>
      <w:lvlText w:val=""/>
      <w:lvlJc w:val="left"/>
      <w:pPr>
        <w:ind w:left="5542" w:hanging="360"/>
      </w:pPr>
      <w:rPr>
        <w:rFonts w:ascii="Symbol" w:hAnsi="Symbol" w:hint="default"/>
      </w:rPr>
    </w:lvl>
    <w:lvl w:ilvl="7" w:tplc="08180003" w:tentative="1">
      <w:start w:val="1"/>
      <w:numFmt w:val="bullet"/>
      <w:lvlText w:val="o"/>
      <w:lvlJc w:val="left"/>
      <w:pPr>
        <w:ind w:left="6262" w:hanging="360"/>
      </w:pPr>
      <w:rPr>
        <w:rFonts w:ascii="Courier New" w:hAnsi="Courier New" w:cs="Courier New" w:hint="default"/>
      </w:rPr>
    </w:lvl>
    <w:lvl w:ilvl="8" w:tplc="08180005" w:tentative="1">
      <w:start w:val="1"/>
      <w:numFmt w:val="bullet"/>
      <w:lvlText w:val=""/>
      <w:lvlJc w:val="left"/>
      <w:pPr>
        <w:ind w:left="6982" w:hanging="360"/>
      </w:pPr>
      <w:rPr>
        <w:rFonts w:ascii="Wingdings" w:hAnsi="Wingdings" w:hint="default"/>
      </w:rPr>
    </w:lvl>
  </w:abstractNum>
  <w:abstractNum w:abstractNumId="9" w15:restartNumberingAfterBreak="0">
    <w:nsid w:val="424F01A1"/>
    <w:multiLevelType w:val="hybridMultilevel"/>
    <w:tmpl w:val="476098A2"/>
    <w:lvl w:ilvl="0" w:tplc="0409000F">
      <w:start w:val="1"/>
      <w:numFmt w:val="decimal"/>
      <w:lvlText w:val="%1."/>
      <w:lvlJc w:val="left"/>
      <w:pPr>
        <w:ind w:left="806" w:hanging="360"/>
      </w:p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10" w15:restartNumberingAfterBreak="0">
    <w:nsid w:val="51184319"/>
    <w:multiLevelType w:val="hybridMultilevel"/>
    <w:tmpl w:val="8A7EAFB6"/>
    <w:lvl w:ilvl="0" w:tplc="4D86758E">
      <w:start w:val="1"/>
      <w:numFmt w:val="decimal"/>
      <w:lvlText w:val="%1."/>
      <w:lvlJc w:val="left"/>
      <w:pPr>
        <w:ind w:left="442" w:hanging="361"/>
      </w:pPr>
      <w:rPr>
        <w:rFonts w:ascii="Times New Roman" w:eastAsia="Times New Roman" w:hAnsi="Times New Roman" w:cs="Times New Roman" w:hint="default"/>
        <w:b w:val="0"/>
        <w:bCs w:val="0"/>
        <w:i w:val="0"/>
        <w:iCs w:val="0"/>
        <w:spacing w:val="0"/>
        <w:w w:val="100"/>
        <w:sz w:val="22"/>
        <w:szCs w:val="22"/>
        <w:lang w:val="ro-RO" w:eastAsia="en-US" w:bidi="ar-SA"/>
      </w:rPr>
    </w:lvl>
    <w:lvl w:ilvl="1" w:tplc="6C6CFDA0">
      <w:numFmt w:val="bullet"/>
      <w:lvlText w:val="•"/>
      <w:lvlJc w:val="left"/>
      <w:pPr>
        <w:ind w:left="1255" w:hanging="361"/>
      </w:pPr>
      <w:rPr>
        <w:rFonts w:hint="default"/>
        <w:lang w:val="ro-RO" w:eastAsia="en-US" w:bidi="ar-SA"/>
      </w:rPr>
    </w:lvl>
    <w:lvl w:ilvl="2" w:tplc="9C2475FC">
      <w:numFmt w:val="bullet"/>
      <w:lvlText w:val="•"/>
      <w:lvlJc w:val="left"/>
      <w:pPr>
        <w:ind w:left="2070" w:hanging="361"/>
      </w:pPr>
      <w:rPr>
        <w:rFonts w:hint="default"/>
        <w:lang w:val="ro-RO" w:eastAsia="en-US" w:bidi="ar-SA"/>
      </w:rPr>
    </w:lvl>
    <w:lvl w:ilvl="3" w:tplc="DEE23A52">
      <w:numFmt w:val="bullet"/>
      <w:lvlText w:val="•"/>
      <w:lvlJc w:val="left"/>
      <w:pPr>
        <w:ind w:left="2885" w:hanging="361"/>
      </w:pPr>
      <w:rPr>
        <w:rFonts w:hint="default"/>
        <w:lang w:val="ro-RO" w:eastAsia="en-US" w:bidi="ar-SA"/>
      </w:rPr>
    </w:lvl>
    <w:lvl w:ilvl="4" w:tplc="BED47492">
      <w:numFmt w:val="bullet"/>
      <w:lvlText w:val="•"/>
      <w:lvlJc w:val="left"/>
      <w:pPr>
        <w:ind w:left="3701" w:hanging="361"/>
      </w:pPr>
      <w:rPr>
        <w:rFonts w:hint="default"/>
        <w:lang w:val="ro-RO" w:eastAsia="en-US" w:bidi="ar-SA"/>
      </w:rPr>
    </w:lvl>
    <w:lvl w:ilvl="5" w:tplc="8ECED8BA">
      <w:numFmt w:val="bullet"/>
      <w:lvlText w:val="•"/>
      <w:lvlJc w:val="left"/>
      <w:pPr>
        <w:ind w:left="4516" w:hanging="361"/>
      </w:pPr>
      <w:rPr>
        <w:rFonts w:hint="default"/>
        <w:lang w:val="ro-RO" w:eastAsia="en-US" w:bidi="ar-SA"/>
      </w:rPr>
    </w:lvl>
    <w:lvl w:ilvl="6" w:tplc="0C2C3080">
      <w:numFmt w:val="bullet"/>
      <w:lvlText w:val="•"/>
      <w:lvlJc w:val="left"/>
      <w:pPr>
        <w:ind w:left="5331" w:hanging="361"/>
      </w:pPr>
      <w:rPr>
        <w:rFonts w:hint="default"/>
        <w:lang w:val="ro-RO" w:eastAsia="en-US" w:bidi="ar-SA"/>
      </w:rPr>
    </w:lvl>
    <w:lvl w:ilvl="7" w:tplc="06AC4CAC">
      <w:numFmt w:val="bullet"/>
      <w:lvlText w:val="•"/>
      <w:lvlJc w:val="left"/>
      <w:pPr>
        <w:ind w:left="6147" w:hanging="361"/>
      </w:pPr>
      <w:rPr>
        <w:rFonts w:hint="default"/>
        <w:lang w:val="ro-RO" w:eastAsia="en-US" w:bidi="ar-SA"/>
      </w:rPr>
    </w:lvl>
    <w:lvl w:ilvl="8" w:tplc="C416F894">
      <w:numFmt w:val="bullet"/>
      <w:lvlText w:val="•"/>
      <w:lvlJc w:val="left"/>
      <w:pPr>
        <w:ind w:left="6962" w:hanging="361"/>
      </w:pPr>
      <w:rPr>
        <w:rFonts w:hint="default"/>
        <w:lang w:val="ro-RO" w:eastAsia="en-US" w:bidi="ar-SA"/>
      </w:rPr>
    </w:lvl>
  </w:abstractNum>
  <w:abstractNum w:abstractNumId="11" w15:restartNumberingAfterBreak="0">
    <w:nsid w:val="5C8B0FAF"/>
    <w:multiLevelType w:val="hybridMultilevel"/>
    <w:tmpl w:val="98B62A66"/>
    <w:lvl w:ilvl="0" w:tplc="FFFFFFFF">
      <w:start w:val="1"/>
      <w:numFmt w:val="decimal"/>
      <w:lvlText w:val="%1."/>
      <w:lvlJc w:val="left"/>
      <w:pPr>
        <w:ind w:left="1364" w:hanging="360"/>
      </w:pPr>
    </w:lvl>
    <w:lvl w:ilvl="1" w:tplc="08180019" w:tentative="1">
      <w:start w:val="1"/>
      <w:numFmt w:val="lowerLetter"/>
      <w:lvlText w:val="%2."/>
      <w:lvlJc w:val="left"/>
      <w:pPr>
        <w:ind w:left="1942" w:hanging="360"/>
      </w:pPr>
    </w:lvl>
    <w:lvl w:ilvl="2" w:tplc="0818001B" w:tentative="1">
      <w:start w:val="1"/>
      <w:numFmt w:val="lowerRoman"/>
      <w:lvlText w:val="%3."/>
      <w:lvlJc w:val="right"/>
      <w:pPr>
        <w:ind w:left="2662" w:hanging="180"/>
      </w:pPr>
    </w:lvl>
    <w:lvl w:ilvl="3" w:tplc="0818000F" w:tentative="1">
      <w:start w:val="1"/>
      <w:numFmt w:val="decimal"/>
      <w:lvlText w:val="%4."/>
      <w:lvlJc w:val="left"/>
      <w:pPr>
        <w:ind w:left="3382" w:hanging="360"/>
      </w:pPr>
    </w:lvl>
    <w:lvl w:ilvl="4" w:tplc="08180019" w:tentative="1">
      <w:start w:val="1"/>
      <w:numFmt w:val="lowerLetter"/>
      <w:lvlText w:val="%5."/>
      <w:lvlJc w:val="left"/>
      <w:pPr>
        <w:ind w:left="4102" w:hanging="360"/>
      </w:pPr>
    </w:lvl>
    <w:lvl w:ilvl="5" w:tplc="0818001B" w:tentative="1">
      <w:start w:val="1"/>
      <w:numFmt w:val="lowerRoman"/>
      <w:lvlText w:val="%6."/>
      <w:lvlJc w:val="right"/>
      <w:pPr>
        <w:ind w:left="4822" w:hanging="180"/>
      </w:pPr>
    </w:lvl>
    <w:lvl w:ilvl="6" w:tplc="0818000F" w:tentative="1">
      <w:start w:val="1"/>
      <w:numFmt w:val="decimal"/>
      <w:lvlText w:val="%7."/>
      <w:lvlJc w:val="left"/>
      <w:pPr>
        <w:ind w:left="5542" w:hanging="360"/>
      </w:pPr>
    </w:lvl>
    <w:lvl w:ilvl="7" w:tplc="08180019" w:tentative="1">
      <w:start w:val="1"/>
      <w:numFmt w:val="lowerLetter"/>
      <w:lvlText w:val="%8."/>
      <w:lvlJc w:val="left"/>
      <w:pPr>
        <w:ind w:left="6262" w:hanging="360"/>
      </w:pPr>
    </w:lvl>
    <w:lvl w:ilvl="8" w:tplc="0818001B" w:tentative="1">
      <w:start w:val="1"/>
      <w:numFmt w:val="lowerRoman"/>
      <w:lvlText w:val="%9."/>
      <w:lvlJc w:val="right"/>
      <w:pPr>
        <w:ind w:left="6982" w:hanging="180"/>
      </w:pPr>
    </w:lvl>
  </w:abstractNum>
  <w:abstractNum w:abstractNumId="12" w15:restartNumberingAfterBreak="0">
    <w:nsid w:val="694B3CE7"/>
    <w:multiLevelType w:val="hybridMultilevel"/>
    <w:tmpl w:val="6C1E35DA"/>
    <w:lvl w:ilvl="0" w:tplc="472E42BE">
      <w:start w:val="1"/>
      <w:numFmt w:val="decimal"/>
      <w:lvlText w:val="%1."/>
      <w:lvlJc w:val="left"/>
      <w:pPr>
        <w:ind w:left="576" w:hanging="423"/>
      </w:pPr>
      <w:rPr>
        <w:rFonts w:hint="default"/>
        <w:spacing w:val="0"/>
        <w:w w:val="100"/>
        <w:lang w:val="ro-RO" w:eastAsia="en-US" w:bidi="ar-SA"/>
      </w:rPr>
    </w:lvl>
    <w:lvl w:ilvl="1" w:tplc="EA348DCE">
      <w:numFmt w:val="bullet"/>
      <w:lvlText w:val="•"/>
      <w:lvlJc w:val="left"/>
      <w:pPr>
        <w:ind w:left="1381" w:hanging="423"/>
      </w:pPr>
      <w:rPr>
        <w:rFonts w:hint="default"/>
        <w:lang w:val="ro-RO" w:eastAsia="en-US" w:bidi="ar-SA"/>
      </w:rPr>
    </w:lvl>
    <w:lvl w:ilvl="2" w:tplc="BD1C4B06">
      <w:numFmt w:val="bullet"/>
      <w:lvlText w:val="•"/>
      <w:lvlJc w:val="left"/>
      <w:pPr>
        <w:ind w:left="2182" w:hanging="423"/>
      </w:pPr>
      <w:rPr>
        <w:rFonts w:hint="default"/>
        <w:lang w:val="ro-RO" w:eastAsia="en-US" w:bidi="ar-SA"/>
      </w:rPr>
    </w:lvl>
    <w:lvl w:ilvl="3" w:tplc="79FE874A">
      <w:numFmt w:val="bullet"/>
      <w:lvlText w:val="•"/>
      <w:lvlJc w:val="left"/>
      <w:pPr>
        <w:ind w:left="2983" w:hanging="423"/>
      </w:pPr>
      <w:rPr>
        <w:rFonts w:hint="default"/>
        <w:lang w:val="ro-RO" w:eastAsia="en-US" w:bidi="ar-SA"/>
      </w:rPr>
    </w:lvl>
    <w:lvl w:ilvl="4" w:tplc="92DC918A">
      <w:numFmt w:val="bullet"/>
      <w:lvlText w:val="•"/>
      <w:lvlJc w:val="left"/>
      <w:pPr>
        <w:ind w:left="3785" w:hanging="423"/>
      </w:pPr>
      <w:rPr>
        <w:rFonts w:hint="default"/>
        <w:lang w:val="ro-RO" w:eastAsia="en-US" w:bidi="ar-SA"/>
      </w:rPr>
    </w:lvl>
    <w:lvl w:ilvl="5" w:tplc="DDD26F1C">
      <w:numFmt w:val="bullet"/>
      <w:lvlText w:val="•"/>
      <w:lvlJc w:val="left"/>
      <w:pPr>
        <w:ind w:left="4586" w:hanging="423"/>
      </w:pPr>
      <w:rPr>
        <w:rFonts w:hint="default"/>
        <w:lang w:val="ro-RO" w:eastAsia="en-US" w:bidi="ar-SA"/>
      </w:rPr>
    </w:lvl>
    <w:lvl w:ilvl="6" w:tplc="1A381BC6">
      <w:numFmt w:val="bullet"/>
      <w:lvlText w:val="•"/>
      <w:lvlJc w:val="left"/>
      <w:pPr>
        <w:ind w:left="5387" w:hanging="423"/>
      </w:pPr>
      <w:rPr>
        <w:rFonts w:hint="default"/>
        <w:lang w:val="ro-RO" w:eastAsia="en-US" w:bidi="ar-SA"/>
      </w:rPr>
    </w:lvl>
    <w:lvl w:ilvl="7" w:tplc="C3F8A348">
      <w:numFmt w:val="bullet"/>
      <w:lvlText w:val="•"/>
      <w:lvlJc w:val="left"/>
      <w:pPr>
        <w:ind w:left="6189" w:hanging="423"/>
      </w:pPr>
      <w:rPr>
        <w:rFonts w:hint="default"/>
        <w:lang w:val="ro-RO" w:eastAsia="en-US" w:bidi="ar-SA"/>
      </w:rPr>
    </w:lvl>
    <w:lvl w:ilvl="8" w:tplc="8D14B454">
      <w:numFmt w:val="bullet"/>
      <w:lvlText w:val="•"/>
      <w:lvlJc w:val="left"/>
      <w:pPr>
        <w:ind w:left="6990" w:hanging="423"/>
      </w:pPr>
      <w:rPr>
        <w:rFonts w:hint="default"/>
        <w:lang w:val="ro-RO" w:eastAsia="en-US" w:bidi="ar-SA"/>
      </w:rPr>
    </w:lvl>
  </w:abstractNum>
  <w:abstractNum w:abstractNumId="13" w15:restartNumberingAfterBreak="0">
    <w:nsid w:val="6C1C4D21"/>
    <w:multiLevelType w:val="hybridMultilevel"/>
    <w:tmpl w:val="44108B7A"/>
    <w:lvl w:ilvl="0" w:tplc="0818000F">
      <w:start w:val="1"/>
      <w:numFmt w:val="decimal"/>
      <w:lvlText w:val="%1."/>
      <w:lvlJc w:val="left"/>
      <w:pPr>
        <w:ind w:left="862" w:hanging="360"/>
      </w:pPr>
    </w:lvl>
    <w:lvl w:ilvl="1" w:tplc="08180019" w:tentative="1">
      <w:start w:val="1"/>
      <w:numFmt w:val="lowerLetter"/>
      <w:lvlText w:val="%2."/>
      <w:lvlJc w:val="left"/>
      <w:pPr>
        <w:ind w:left="1582" w:hanging="360"/>
      </w:pPr>
    </w:lvl>
    <w:lvl w:ilvl="2" w:tplc="0818001B" w:tentative="1">
      <w:start w:val="1"/>
      <w:numFmt w:val="lowerRoman"/>
      <w:lvlText w:val="%3."/>
      <w:lvlJc w:val="right"/>
      <w:pPr>
        <w:ind w:left="2302" w:hanging="180"/>
      </w:pPr>
    </w:lvl>
    <w:lvl w:ilvl="3" w:tplc="0818000F" w:tentative="1">
      <w:start w:val="1"/>
      <w:numFmt w:val="decimal"/>
      <w:lvlText w:val="%4."/>
      <w:lvlJc w:val="left"/>
      <w:pPr>
        <w:ind w:left="3022" w:hanging="360"/>
      </w:pPr>
    </w:lvl>
    <w:lvl w:ilvl="4" w:tplc="08180019" w:tentative="1">
      <w:start w:val="1"/>
      <w:numFmt w:val="lowerLetter"/>
      <w:lvlText w:val="%5."/>
      <w:lvlJc w:val="left"/>
      <w:pPr>
        <w:ind w:left="3742" w:hanging="360"/>
      </w:pPr>
    </w:lvl>
    <w:lvl w:ilvl="5" w:tplc="0818001B" w:tentative="1">
      <w:start w:val="1"/>
      <w:numFmt w:val="lowerRoman"/>
      <w:lvlText w:val="%6."/>
      <w:lvlJc w:val="right"/>
      <w:pPr>
        <w:ind w:left="4462" w:hanging="180"/>
      </w:pPr>
    </w:lvl>
    <w:lvl w:ilvl="6" w:tplc="0818000F" w:tentative="1">
      <w:start w:val="1"/>
      <w:numFmt w:val="decimal"/>
      <w:lvlText w:val="%7."/>
      <w:lvlJc w:val="left"/>
      <w:pPr>
        <w:ind w:left="5182" w:hanging="360"/>
      </w:pPr>
    </w:lvl>
    <w:lvl w:ilvl="7" w:tplc="08180019" w:tentative="1">
      <w:start w:val="1"/>
      <w:numFmt w:val="lowerLetter"/>
      <w:lvlText w:val="%8."/>
      <w:lvlJc w:val="left"/>
      <w:pPr>
        <w:ind w:left="5902" w:hanging="360"/>
      </w:pPr>
    </w:lvl>
    <w:lvl w:ilvl="8" w:tplc="0818001B" w:tentative="1">
      <w:start w:val="1"/>
      <w:numFmt w:val="lowerRoman"/>
      <w:lvlText w:val="%9."/>
      <w:lvlJc w:val="right"/>
      <w:pPr>
        <w:ind w:left="6622" w:hanging="180"/>
      </w:pPr>
    </w:lvl>
  </w:abstractNum>
  <w:num w:numId="1" w16cid:durableId="220943385">
    <w:abstractNumId w:val="12"/>
  </w:num>
  <w:num w:numId="2" w16cid:durableId="1887644108">
    <w:abstractNumId w:val="10"/>
  </w:num>
  <w:num w:numId="3" w16cid:durableId="1757246824">
    <w:abstractNumId w:val="6"/>
  </w:num>
  <w:num w:numId="4" w16cid:durableId="2131046347">
    <w:abstractNumId w:val="0"/>
  </w:num>
  <w:num w:numId="5" w16cid:durableId="715812586">
    <w:abstractNumId w:val="2"/>
  </w:num>
  <w:num w:numId="6" w16cid:durableId="575821302">
    <w:abstractNumId w:val="4"/>
  </w:num>
  <w:num w:numId="7" w16cid:durableId="632752975">
    <w:abstractNumId w:val="1"/>
  </w:num>
  <w:num w:numId="8" w16cid:durableId="1378553385">
    <w:abstractNumId w:val="5"/>
  </w:num>
  <w:num w:numId="9" w16cid:durableId="420681432">
    <w:abstractNumId w:val="9"/>
  </w:num>
  <w:num w:numId="10" w16cid:durableId="649754348">
    <w:abstractNumId w:val="3"/>
  </w:num>
  <w:num w:numId="11" w16cid:durableId="181013880">
    <w:abstractNumId w:val="13"/>
  </w:num>
  <w:num w:numId="12" w16cid:durableId="292643466">
    <w:abstractNumId w:val="7"/>
  </w:num>
  <w:num w:numId="13" w16cid:durableId="2037004456">
    <w:abstractNumId w:val="8"/>
  </w:num>
  <w:num w:numId="14" w16cid:durableId="14355951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8F3"/>
    <w:rsid w:val="000E58F3"/>
    <w:rsid w:val="00107349"/>
    <w:rsid w:val="001C2435"/>
    <w:rsid w:val="002774C4"/>
    <w:rsid w:val="00325FB7"/>
    <w:rsid w:val="0033251A"/>
    <w:rsid w:val="003B36D5"/>
    <w:rsid w:val="004453C7"/>
    <w:rsid w:val="00455A20"/>
    <w:rsid w:val="004D60AC"/>
    <w:rsid w:val="00505566"/>
    <w:rsid w:val="005264F5"/>
    <w:rsid w:val="0054537D"/>
    <w:rsid w:val="005C1DF5"/>
    <w:rsid w:val="005D7D57"/>
    <w:rsid w:val="005E60E7"/>
    <w:rsid w:val="006574F8"/>
    <w:rsid w:val="006A23A1"/>
    <w:rsid w:val="006D32E9"/>
    <w:rsid w:val="00711938"/>
    <w:rsid w:val="00732B47"/>
    <w:rsid w:val="0075644B"/>
    <w:rsid w:val="008325C4"/>
    <w:rsid w:val="008524DD"/>
    <w:rsid w:val="008876AA"/>
    <w:rsid w:val="00897446"/>
    <w:rsid w:val="008E453A"/>
    <w:rsid w:val="008F697A"/>
    <w:rsid w:val="00A175FC"/>
    <w:rsid w:val="00A21970"/>
    <w:rsid w:val="00AA348A"/>
    <w:rsid w:val="00AA5144"/>
    <w:rsid w:val="00B16B11"/>
    <w:rsid w:val="00B501FD"/>
    <w:rsid w:val="00BC21FC"/>
    <w:rsid w:val="00C01142"/>
    <w:rsid w:val="00C115E4"/>
    <w:rsid w:val="00C63151"/>
    <w:rsid w:val="00CC2003"/>
    <w:rsid w:val="00CC39D9"/>
    <w:rsid w:val="00D33A31"/>
    <w:rsid w:val="00DB56EB"/>
    <w:rsid w:val="00DD5850"/>
    <w:rsid w:val="00DF200E"/>
    <w:rsid w:val="00E06B1D"/>
    <w:rsid w:val="00EF3035"/>
    <w:rsid w:val="00FA6C2C"/>
    <w:rsid w:val="00FF25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25D5F"/>
  <w15:docId w15:val="{BB95C721-4638-480A-8396-8AEC320B7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ro-RO"/>
    </w:rPr>
  </w:style>
  <w:style w:type="paragraph" w:styleId="Heading1">
    <w:name w:val="heading 1"/>
    <w:basedOn w:val="Normal"/>
    <w:next w:val="Normal"/>
    <w:link w:val="Heading1Char"/>
    <w:uiPriority w:val="9"/>
    <w:qFormat/>
    <w:rsid w:val="0033251A"/>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
      <w:ind w:left="2401"/>
    </w:pPr>
    <w:rPr>
      <w:b/>
      <w:bCs/>
    </w:rPr>
  </w:style>
  <w:style w:type="paragraph" w:styleId="Title">
    <w:name w:val="Title"/>
    <w:basedOn w:val="Normal"/>
    <w:uiPriority w:val="1"/>
    <w:qFormat/>
    <w:pPr>
      <w:ind w:left="2401"/>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576"/>
    </w:pPr>
  </w:style>
  <w:style w:type="character" w:styleId="Hyperlink">
    <w:name w:val="Hyperlink"/>
    <w:rsid w:val="00AA348A"/>
    <w:rPr>
      <w:color w:val="0000FF"/>
      <w:u w:val="single"/>
    </w:rPr>
  </w:style>
  <w:style w:type="character" w:styleId="UnresolvedMention">
    <w:name w:val="Unresolved Mention"/>
    <w:basedOn w:val="DefaultParagraphFont"/>
    <w:uiPriority w:val="99"/>
    <w:semiHidden/>
    <w:unhideWhenUsed/>
    <w:rsid w:val="005E60E7"/>
    <w:rPr>
      <w:color w:val="605E5C"/>
      <w:shd w:val="clear" w:color="auto" w:fill="E1DFDD"/>
    </w:rPr>
  </w:style>
  <w:style w:type="character" w:customStyle="1" w:styleId="Heading1Char">
    <w:name w:val="Heading 1 Char"/>
    <w:basedOn w:val="DefaultParagraphFont"/>
    <w:link w:val="Heading1"/>
    <w:uiPriority w:val="9"/>
    <w:rsid w:val="0033251A"/>
    <w:rPr>
      <w:rFonts w:asciiTheme="majorHAnsi" w:eastAsiaTheme="majorEastAsia" w:hAnsiTheme="majorHAnsi" w:cstheme="majorBidi"/>
      <w:color w:val="365F91" w:themeColor="accent1" w:themeShade="BF"/>
      <w:sz w:val="32"/>
      <w:szCs w:val="32"/>
      <w:lang w:val="ro-RO"/>
    </w:rPr>
  </w:style>
  <w:style w:type="character" w:customStyle="1" w:styleId="whitespace-normal">
    <w:name w:val="whitespace-normal"/>
    <w:basedOn w:val="DefaultParagraphFont"/>
    <w:rsid w:val="00E06B1D"/>
  </w:style>
  <w:style w:type="character" w:styleId="Emphasis">
    <w:name w:val="Emphasis"/>
    <w:basedOn w:val="DefaultParagraphFont"/>
    <w:uiPriority w:val="20"/>
    <w:qFormat/>
    <w:rsid w:val="00E06B1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182006">
      <w:bodyDiv w:val="1"/>
      <w:marLeft w:val="0"/>
      <w:marRight w:val="0"/>
      <w:marTop w:val="0"/>
      <w:marBottom w:val="0"/>
      <w:divBdr>
        <w:top w:val="none" w:sz="0" w:space="0" w:color="auto"/>
        <w:left w:val="none" w:sz="0" w:space="0" w:color="auto"/>
        <w:bottom w:val="none" w:sz="0" w:space="0" w:color="auto"/>
        <w:right w:val="none" w:sz="0" w:space="0" w:color="auto"/>
      </w:divBdr>
    </w:div>
    <w:div w:id="10906630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dsi.md/files/file/Declaratia_privind_Stiinta_Deschisa_in_Republica_Moldova.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ibn.idsi.md/ro/journals_view" TargetMode="External"/><Relationship Id="rId12" Type="http://schemas.openxmlformats.org/officeDocument/2006/relationships/hyperlink" Target="file:///D:/Desktop/2026%20SCOALA%20DOCTORALA%20SDSUE/DOCTORAT%20DOCUMENTE%20PLANURI/Ghidul-SDSUE-privind-redactarea-tezei-de-doctorat-si-a-rezumatului_precizat.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anacec.md/files/Regulament-publicatii.pdf" TargetMode="External"/><Relationship Id="rId11" Type="http://schemas.openxmlformats.org/officeDocument/2006/relationships/hyperlink" Target="https://doctorat.usm.md/wp-content/uploads/2022/11/Metodologia-privind-elaborarea-si-sustinerea-referatelor-stiintifice-in-cadrul-studiilor-de-doctorat.pdf" TargetMode="External"/><Relationship Id="rId5" Type="http://schemas.openxmlformats.org/officeDocument/2006/relationships/webSettings" Target="webSettings.xml"/><Relationship Id="rId10" Type="http://schemas.openxmlformats.org/officeDocument/2006/relationships/hyperlink" Target="https://usm.md/wp-content/uploads/6.-Regulament_Instit_Studii_Doctorat-2022_site.pdf" TargetMode="External"/><Relationship Id="rId4" Type="http://schemas.openxmlformats.org/officeDocument/2006/relationships/settings" Target="settings.xml"/><Relationship Id="rId9" Type="http://schemas.openxmlformats.org/officeDocument/2006/relationships/hyperlink" Target="https://anacec.md/files/Lista-baze-date-27.12.2019.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6312FA-43AB-4BAF-A27C-2B011E6AC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1460</Words>
  <Characters>8468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Aliona Grati</cp:lastModifiedBy>
  <cp:revision>9</cp:revision>
  <dcterms:created xsi:type="dcterms:W3CDTF">2026-03-30T17:36:00Z</dcterms:created>
  <dcterms:modified xsi:type="dcterms:W3CDTF">2026-04-02T13:40:00Z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2023-04-10T00:00:00Z</vt:filetime>
  </property>
  <property fmtid="{D5CDD505-2E9C-101B-9397-08002B2CF9AE}" pid="3" name="Creator">
    <vt:lpwstr>Microsoft® Word 2016</vt:lpwstr>
  </property>
  <property fmtid="{D5CDD505-2E9C-101B-9397-08002B2CF9AE}" pid="4" name="LastSaved">
    <vt:filetime>2026-03-26T00:00:00Z</vt:filetime>
  </property>
  <property fmtid="{D5CDD505-2E9C-101B-9397-08002B2CF9AE}" pid="5" name="Producer">
    <vt:lpwstr>www.ilovepdf.com</vt:lpwstr>
  </property>
</Properties>
</file>