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8F3" w:rsidRPr="00B3216B" w:rsidRDefault="000E58F3" w:rsidP="004453C7"/>
    <w:p w:rsidR="000E58F3" w:rsidRPr="00B3216B" w:rsidRDefault="00B3216B" w:rsidP="004453C7">
      <w:pPr>
        <w:pStyle w:val="Title"/>
        <w:ind w:left="0"/>
        <w:jc w:val="center"/>
        <w:rPr>
          <w:sz w:val="22"/>
          <w:szCs w:val="22"/>
        </w:rPr>
      </w:pPr>
      <w:r w:rsidRPr="00B3216B">
        <w:rPr>
          <w:sz w:val="22"/>
          <w:szCs w:val="22"/>
        </w:rPr>
        <w:t xml:space="preserve">                                                                                  </w:t>
      </w:r>
      <w:r w:rsidR="001C2435" w:rsidRPr="00B3216B">
        <w:rPr>
          <w:sz w:val="22"/>
          <w:szCs w:val="22"/>
        </w:rPr>
        <w:t>FIȘA</w:t>
      </w:r>
      <w:r w:rsidR="001C2435" w:rsidRPr="00B3216B">
        <w:rPr>
          <w:spacing w:val="-5"/>
          <w:sz w:val="22"/>
          <w:szCs w:val="22"/>
        </w:rPr>
        <w:t xml:space="preserve"> </w:t>
      </w:r>
      <w:r w:rsidR="001C2435" w:rsidRPr="00B3216B">
        <w:rPr>
          <w:spacing w:val="-2"/>
          <w:sz w:val="22"/>
          <w:szCs w:val="22"/>
        </w:rPr>
        <w:t>DISCIPLINEI</w:t>
      </w:r>
    </w:p>
    <w:p w:rsidR="006A23A1" w:rsidRPr="00B3216B" w:rsidRDefault="001C2435" w:rsidP="004453C7">
      <w:pPr>
        <w:pStyle w:val="BodyText"/>
        <w:spacing w:before="0"/>
        <w:ind w:left="0"/>
        <w:jc w:val="right"/>
        <w:rPr>
          <w:spacing w:val="1"/>
        </w:rPr>
      </w:pPr>
      <w:r w:rsidRPr="00B3216B">
        <w:rPr>
          <w:b w:val="0"/>
        </w:rPr>
        <w:br w:type="column"/>
      </w:r>
      <w:r w:rsidR="006A23A1" w:rsidRPr="00B3216B">
        <w:t>Aprobat:</w:t>
      </w:r>
      <w:r w:rsidR="006A23A1" w:rsidRPr="00B3216B">
        <w:rPr>
          <w:spacing w:val="-47"/>
        </w:rPr>
        <w:t xml:space="preserve"> </w:t>
      </w:r>
      <w:r w:rsidR="006A23A1" w:rsidRPr="00B3216B">
        <w:t>Consiliul</w:t>
      </w:r>
      <w:r w:rsidR="006A23A1" w:rsidRPr="00B3216B">
        <w:rPr>
          <w:spacing w:val="6"/>
        </w:rPr>
        <w:t xml:space="preserve"> </w:t>
      </w:r>
      <w:r w:rsidR="006A23A1" w:rsidRPr="00B3216B">
        <w:t>Științific al USM</w:t>
      </w:r>
      <w:r w:rsidR="006A23A1" w:rsidRPr="00B3216B">
        <w:rPr>
          <w:spacing w:val="1"/>
        </w:rPr>
        <w:t xml:space="preserve"> </w:t>
      </w:r>
    </w:p>
    <w:p w:rsidR="006A23A1" w:rsidRPr="00B3216B" w:rsidRDefault="006A23A1" w:rsidP="004453C7">
      <w:pPr>
        <w:pStyle w:val="BodyText"/>
        <w:spacing w:before="0"/>
        <w:ind w:left="0"/>
        <w:jc w:val="right"/>
      </w:pPr>
      <w:r w:rsidRPr="00B3216B">
        <w:t>Proces</w:t>
      </w:r>
      <w:r w:rsidRPr="00B3216B">
        <w:rPr>
          <w:spacing w:val="-3"/>
        </w:rPr>
        <w:t>-</w:t>
      </w:r>
      <w:r w:rsidRPr="00B3216B">
        <w:t>verbal</w:t>
      </w:r>
      <w:r w:rsidRPr="00B3216B">
        <w:rPr>
          <w:spacing w:val="-3"/>
        </w:rPr>
        <w:t xml:space="preserve"> </w:t>
      </w:r>
      <w:r w:rsidRPr="00B3216B">
        <w:t>nr.</w:t>
      </w:r>
      <w:r w:rsidRPr="00B3216B">
        <w:rPr>
          <w:spacing w:val="1"/>
        </w:rPr>
        <w:t xml:space="preserve"> </w:t>
      </w:r>
      <w:r w:rsidRPr="00B3216B">
        <w:t>1, din</w:t>
      </w:r>
      <w:r w:rsidRPr="00B3216B">
        <w:rPr>
          <w:spacing w:val="-2"/>
        </w:rPr>
        <w:t xml:space="preserve"> </w:t>
      </w:r>
      <w:r w:rsidRPr="00B3216B">
        <w:t>30.11.22</w:t>
      </w:r>
    </w:p>
    <w:p w:rsidR="006A23A1" w:rsidRPr="00B3216B" w:rsidRDefault="006A23A1" w:rsidP="004453C7">
      <w:pPr>
        <w:jc w:val="right"/>
      </w:pPr>
      <w:r w:rsidRPr="00B3216B">
        <w:t>Reactualizat: Consiliul ȘDȘUE,</w:t>
      </w:r>
    </w:p>
    <w:p w:rsidR="006A23A1" w:rsidRPr="00B3216B" w:rsidRDefault="006A23A1" w:rsidP="004453C7">
      <w:pPr>
        <w:pStyle w:val="BodyText"/>
        <w:spacing w:before="0"/>
        <w:ind w:left="0"/>
        <w:jc w:val="right"/>
        <w:sectPr w:rsidR="006A23A1" w:rsidRPr="00B3216B" w:rsidSect="006A23A1">
          <w:type w:val="continuous"/>
          <w:pgSz w:w="11910" w:h="16840"/>
          <w:pgMar w:top="480" w:right="580" w:bottom="280" w:left="480" w:header="708" w:footer="708" w:gutter="0"/>
          <w:cols w:num="2" w:space="708" w:equalWidth="0">
            <w:col w:w="6628" w:space="40"/>
            <w:col w:w="4182"/>
          </w:cols>
        </w:sectPr>
      </w:pPr>
      <w:r w:rsidRPr="00B3216B">
        <w:rPr>
          <w:b w:val="0"/>
          <w:bCs w:val="0"/>
        </w:rPr>
        <w:t>Proces</w:t>
      </w:r>
      <w:r w:rsidRPr="00B3216B">
        <w:rPr>
          <w:b w:val="0"/>
          <w:bCs w:val="0"/>
          <w:spacing w:val="-3"/>
        </w:rPr>
        <w:t>-</w:t>
      </w:r>
      <w:r w:rsidRPr="00B3216B">
        <w:rPr>
          <w:b w:val="0"/>
          <w:bCs w:val="0"/>
        </w:rPr>
        <w:t>verbal</w:t>
      </w:r>
      <w:r w:rsidRPr="00B3216B">
        <w:rPr>
          <w:b w:val="0"/>
          <w:bCs w:val="0"/>
          <w:spacing w:val="-3"/>
        </w:rPr>
        <w:t xml:space="preserve"> </w:t>
      </w:r>
      <w:r w:rsidRPr="00B3216B">
        <w:rPr>
          <w:b w:val="0"/>
          <w:bCs w:val="0"/>
        </w:rPr>
        <w:t>nr.</w:t>
      </w:r>
      <w:r w:rsidRPr="00B3216B">
        <w:rPr>
          <w:b w:val="0"/>
          <w:bCs w:val="0"/>
          <w:spacing w:val="1"/>
        </w:rPr>
        <w:t xml:space="preserve"> </w:t>
      </w:r>
      <w:r w:rsidRPr="00B3216B">
        <w:rPr>
          <w:b w:val="0"/>
          <w:bCs w:val="0"/>
        </w:rPr>
        <w:t>3, din</w:t>
      </w:r>
      <w:r w:rsidRPr="00B3216B">
        <w:rPr>
          <w:b w:val="0"/>
          <w:bCs w:val="0"/>
          <w:spacing w:val="-2"/>
        </w:rPr>
        <w:t xml:space="preserve"> </w:t>
      </w:r>
      <w:r w:rsidRPr="00B3216B">
        <w:rPr>
          <w:b w:val="0"/>
          <w:bCs w:val="0"/>
        </w:rPr>
        <w:t>22.12.25</w:t>
      </w:r>
    </w:p>
    <w:p w:rsidR="000E58F3" w:rsidRPr="00B3216B" w:rsidRDefault="000E58F3" w:rsidP="004453C7">
      <w:pPr>
        <w:pStyle w:val="BodyText"/>
        <w:spacing w:before="0"/>
        <w:ind w:left="0"/>
        <w:sectPr w:rsidR="000E58F3" w:rsidRPr="00B3216B">
          <w:type w:val="continuous"/>
          <w:pgSz w:w="11910" w:h="16840"/>
          <w:pgMar w:top="1040" w:right="566" w:bottom="280" w:left="566" w:header="720" w:footer="720" w:gutter="0"/>
          <w:cols w:num="2" w:space="720" w:equalWidth="0">
            <w:col w:w="4541" w:space="338"/>
            <w:col w:w="5899"/>
          </w:cols>
        </w:sectPr>
      </w:pPr>
    </w:p>
    <w:tbl>
      <w:tblPr>
        <w:tblW w:w="0" w:type="auto"/>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0"/>
        <w:gridCol w:w="139"/>
        <w:gridCol w:w="2525"/>
        <w:gridCol w:w="2425"/>
        <w:gridCol w:w="1440"/>
        <w:gridCol w:w="2086"/>
      </w:tblGrid>
      <w:tr w:rsidR="000E58F3" w:rsidRPr="00B3216B" w:rsidTr="00CD464B">
        <w:trPr>
          <w:trHeight w:val="348"/>
        </w:trPr>
        <w:tc>
          <w:tcPr>
            <w:tcW w:w="2139" w:type="dxa"/>
            <w:gridSpan w:val="2"/>
          </w:tcPr>
          <w:p w:rsidR="000E58F3" w:rsidRPr="00B3216B" w:rsidRDefault="00CC39D9" w:rsidP="004453C7">
            <w:pPr>
              <w:pStyle w:val="TableParagraph"/>
              <w:ind w:left="0"/>
              <w:rPr>
                <w:b/>
              </w:rPr>
            </w:pPr>
            <w:r w:rsidRPr="00B3216B">
              <w:rPr>
                <w:b/>
                <w:spacing w:val="-2"/>
              </w:rPr>
              <w:t>Program de doctorat</w:t>
            </w:r>
          </w:p>
        </w:tc>
        <w:tc>
          <w:tcPr>
            <w:tcW w:w="8475" w:type="dxa"/>
            <w:gridSpan w:val="4"/>
          </w:tcPr>
          <w:p w:rsidR="000E58F3" w:rsidRPr="00B3216B" w:rsidRDefault="00A3180B" w:rsidP="00B3216B">
            <w:pPr>
              <w:pStyle w:val="TableParagraph"/>
              <w:ind w:left="0"/>
              <w:jc w:val="center"/>
              <w:rPr>
                <w:b/>
                <w:bCs/>
              </w:rPr>
            </w:pPr>
            <w:r w:rsidRPr="00B3216B">
              <w:rPr>
                <w:rFonts w:eastAsia="Calibri"/>
                <w:b/>
                <w:bCs/>
              </w:rPr>
              <w:t>Fonetică şi fonologie; dialectologie; istoria limbii; sociolingvistică; etnolingvistică</w:t>
            </w:r>
          </w:p>
        </w:tc>
      </w:tr>
      <w:tr w:rsidR="000E58F3" w:rsidRPr="00B3216B" w:rsidTr="00CD464B">
        <w:trPr>
          <w:trHeight w:val="496"/>
        </w:trPr>
        <w:tc>
          <w:tcPr>
            <w:tcW w:w="2139" w:type="dxa"/>
            <w:gridSpan w:val="2"/>
          </w:tcPr>
          <w:p w:rsidR="000E58F3" w:rsidRPr="00B3216B" w:rsidRDefault="001C2435" w:rsidP="004453C7">
            <w:pPr>
              <w:pStyle w:val="TableParagraph"/>
              <w:ind w:left="0"/>
              <w:rPr>
                <w:b/>
              </w:rPr>
            </w:pPr>
            <w:r w:rsidRPr="00B3216B">
              <w:rPr>
                <w:b/>
                <w:spacing w:val="-2"/>
              </w:rPr>
              <w:t>Denumirea</w:t>
            </w:r>
          </w:p>
          <w:p w:rsidR="000E58F3" w:rsidRPr="00B3216B" w:rsidRDefault="001C2435" w:rsidP="004453C7">
            <w:pPr>
              <w:pStyle w:val="TableParagraph"/>
              <w:ind w:left="0"/>
              <w:rPr>
                <w:b/>
              </w:rPr>
            </w:pPr>
            <w:r w:rsidRPr="00B3216B">
              <w:rPr>
                <w:b/>
                <w:spacing w:val="-2"/>
              </w:rPr>
              <w:t>disciplinei</w:t>
            </w:r>
          </w:p>
        </w:tc>
        <w:tc>
          <w:tcPr>
            <w:tcW w:w="8475" w:type="dxa"/>
            <w:gridSpan w:val="4"/>
          </w:tcPr>
          <w:p w:rsidR="000E58F3" w:rsidRPr="00B3216B" w:rsidRDefault="00A3180B" w:rsidP="00B3216B">
            <w:pPr>
              <w:pStyle w:val="TableParagraph"/>
              <w:ind w:left="0"/>
              <w:jc w:val="center"/>
              <w:rPr>
                <w:b/>
              </w:rPr>
            </w:pPr>
            <w:r w:rsidRPr="00B3216B">
              <w:rPr>
                <w:b/>
              </w:rPr>
              <w:t xml:space="preserve">S.02.06 </w:t>
            </w:r>
            <w:r w:rsidR="001C2435" w:rsidRPr="00B3216B">
              <w:rPr>
                <w:b/>
              </w:rPr>
              <w:t>Tehnici</w:t>
            </w:r>
            <w:r w:rsidR="001C2435" w:rsidRPr="00B3216B">
              <w:rPr>
                <w:b/>
                <w:spacing w:val="-8"/>
              </w:rPr>
              <w:t xml:space="preserve"> </w:t>
            </w:r>
            <w:r w:rsidR="001C2435" w:rsidRPr="00B3216B">
              <w:rPr>
                <w:b/>
              </w:rPr>
              <w:t>și</w:t>
            </w:r>
            <w:r w:rsidR="001C2435" w:rsidRPr="00B3216B">
              <w:rPr>
                <w:b/>
                <w:spacing w:val="-4"/>
              </w:rPr>
              <w:t xml:space="preserve"> </w:t>
            </w:r>
            <w:r w:rsidR="001C2435" w:rsidRPr="00B3216B">
              <w:rPr>
                <w:b/>
              </w:rPr>
              <w:t>instrumente</w:t>
            </w:r>
            <w:r w:rsidR="001C2435" w:rsidRPr="00B3216B">
              <w:rPr>
                <w:b/>
                <w:spacing w:val="-4"/>
              </w:rPr>
              <w:t xml:space="preserve"> </w:t>
            </w:r>
            <w:r w:rsidR="001C2435" w:rsidRPr="00B3216B">
              <w:rPr>
                <w:b/>
              </w:rPr>
              <w:t>de</w:t>
            </w:r>
            <w:r w:rsidR="001C2435" w:rsidRPr="00B3216B">
              <w:rPr>
                <w:b/>
                <w:spacing w:val="-3"/>
              </w:rPr>
              <w:t xml:space="preserve"> </w:t>
            </w:r>
            <w:r w:rsidR="001C2435" w:rsidRPr="00B3216B">
              <w:rPr>
                <w:b/>
              </w:rPr>
              <w:t>cercetare</w:t>
            </w:r>
            <w:r w:rsidR="001C2435" w:rsidRPr="00B3216B">
              <w:rPr>
                <w:b/>
                <w:spacing w:val="-4"/>
              </w:rPr>
              <w:t xml:space="preserve"> </w:t>
            </w:r>
            <w:r w:rsidR="001C2435" w:rsidRPr="00B3216B">
              <w:rPr>
                <w:b/>
              </w:rPr>
              <w:t>științifică</w:t>
            </w:r>
            <w:r w:rsidR="001C2435" w:rsidRPr="00B3216B">
              <w:rPr>
                <w:b/>
                <w:spacing w:val="-6"/>
              </w:rPr>
              <w:t xml:space="preserve"> </w:t>
            </w:r>
            <w:r w:rsidR="001C2435" w:rsidRPr="00B3216B">
              <w:rPr>
                <w:b/>
              </w:rPr>
              <w:t>în</w:t>
            </w:r>
            <w:r w:rsidR="001C2435" w:rsidRPr="00B3216B">
              <w:rPr>
                <w:b/>
                <w:spacing w:val="-4"/>
              </w:rPr>
              <w:t xml:space="preserve"> </w:t>
            </w:r>
            <w:r w:rsidR="00B3216B">
              <w:rPr>
                <w:b/>
                <w:spacing w:val="-4"/>
              </w:rPr>
              <w:t>f</w:t>
            </w:r>
            <w:r w:rsidRPr="00B3216B">
              <w:rPr>
                <w:b/>
                <w:spacing w:val="-4"/>
              </w:rPr>
              <w:t>ilologie</w:t>
            </w:r>
          </w:p>
        </w:tc>
      </w:tr>
      <w:tr w:rsidR="0075644B" w:rsidRPr="00B3216B" w:rsidTr="00CD464B">
        <w:trPr>
          <w:trHeight w:val="500"/>
        </w:trPr>
        <w:tc>
          <w:tcPr>
            <w:tcW w:w="2139" w:type="dxa"/>
            <w:gridSpan w:val="2"/>
            <w:tcBorders>
              <w:top w:val="single" w:sz="4" w:space="0" w:color="000000"/>
              <w:left w:val="single" w:sz="4" w:space="0" w:color="000000"/>
              <w:bottom w:val="single" w:sz="4" w:space="0" w:color="000000"/>
              <w:right w:val="single" w:sz="4" w:space="0" w:color="000000"/>
            </w:tcBorders>
          </w:tcPr>
          <w:p w:rsidR="0075644B" w:rsidRPr="00B3216B" w:rsidRDefault="0075644B" w:rsidP="004453C7">
            <w:pPr>
              <w:pStyle w:val="TableParagraph"/>
              <w:ind w:left="0"/>
              <w:jc w:val="both"/>
              <w:rPr>
                <w:b/>
              </w:rPr>
            </w:pPr>
            <w:r w:rsidRPr="00B3216B">
              <w:rPr>
                <w:b/>
              </w:rPr>
              <w:t>Titularul de curs</w:t>
            </w:r>
          </w:p>
        </w:tc>
        <w:tc>
          <w:tcPr>
            <w:tcW w:w="8475" w:type="dxa"/>
            <w:gridSpan w:val="4"/>
            <w:tcBorders>
              <w:top w:val="single" w:sz="4" w:space="0" w:color="000000"/>
              <w:left w:val="single" w:sz="4" w:space="0" w:color="000000"/>
              <w:bottom w:val="single" w:sz="4" w:space="0" w:color="000000"/>
              <w:right w:val="single" w:sz="4" w:space="0" w:color="000000"/>
            </w:tcBorders>
          </w:tcPr>
          <w:p w:rsidR="0075644B" w:rsidRPr="00B3216B" w:rsidRDefault="004453C7" w:rsidP="004453C7">
            <w:pPr>
              <w:pStyle w:val="TableParagraph"/>
              <w:ind w:left="0"/>
              <w:jc w:val="both"/>
            </w:pPr>
            <w:r w:rsidRPr="00B3216B">
              <w:rPr>
                <w:b/>
              </w:rPr>
              <w:t xml:space="preserve">  </w:t>
            </w:r>
            <w:r w:rsidR="00B3216B" w:rsidRPr="00B3216B">
              <w:rPr>
                <w:b/>
              </w:rPr>
              <w:t xml:space="preserve">                                               </w:t>
            </w:r>
            <w:r w:rsidR="00B3216B" w:rsidRPr="00B3216B">
              <w:rPr>
                <w:bCs/>
              </w:rPr>
              <w:t>Conducătorul de doctorat</w:t>
            </w:r>
          </w:p>
        </w:tc>
      </w:tr>
      <w:tr w:rsidR="000E58F3" w:rsidRPr="00B3216B" w:rsidTr="00CD464B">
        <w:trPr>
          <w:trHeight w:val="745"/>
        </w:trPr>
        <w:tc>
          <w:tcPr>
            <w:tcW w:w="10614" w:type="dxa"/>
            <w:gridSpan w:val="6"/>
          </w:tcPr>
          <w:p w:rsidR="000E58F3" w:rsidRPr="00B3216B" w:rsidRDefault="001C2435" w:rsidP="004453C7">
            <w:pPr>
              <w:pStyle w:val="TableParagraph"/>
              <w:ind w:left="0"/>
              <w:rPr>
                <w:b/>
              </w:rPr>
            </w:pPr>
            <w:r w:rsidRPr="00B3216B">
              <w:rPr>
                <w:b/>
              </w:rPr>
              <w:t>Ciclul</w:t>
            </w:r>
            <w:r w:rsidRPr="00B3216B">
              <w:rPr>
                <w:b/>
                <w:spacing w:val="-5"/>
              </w:rPr>
              <w:t xml:space="preserve"> </w:t>
            </w:r>
            <w:r w:rsidRPr="00B3216B">
              <w:rPr>
                <w:b/>
              </w:rPr>
              <w:t>III,</w:t>
            </w:r>
            <w:r w:rsidRPr="00B3216B">
              <w:rPr>
                <w:b/>
                <w:spacing w:val="-3"/>
              </w:rPr>
              <w:t xml:space="preserve"> </w:t>
            </w:r>
            <w:r w:rsidRPr="00B3216B">
              <w:rPr>
                <w:b/>
                <w:spacing w:val="-2"/>
              </w:rPr>
              <w:t>Doctorat</w:t>
            </w:r>
          </w:p>
          <w:p w:rsidR="000E58F3" w:rsidRPr="00B3216B" w:rsidRDefault="001C2435" w:rsidP="00B3216B">
            <w:pPr>
              <w:pStyle w:val="TableParagraph"/>
              <w:ind w:left="0"/>
              <w:rPr>
                <w:b/>
              </w:rPr>
            </w:pPr>
            <w:r w:rsidRPr="00B3216B">
              <w:rPr>
                <w:b/>
              </w:rPr>
              <w:t>Anul</w:t>
            </w:r>
            <w:r w:rsidRPr="00B3216B">
              <w:rPr>
                <w:b/>
                <w:spacing w:val="-10"/>
              </w:rPr>
              <w:t xml:space="preserve"> </w:t>
            </w:r>
            <w:r w:rsidRPr="00B3216B">
              <w:rPr>
                <w:b/>
              </w:rPr>
              <w:t>I,</w:t>
            </w:r>
            <w:r w:rsidRPr="00B3216B">
              <w:rPr>
                <w:b/>
                <w:spacing w:val="-1"/>
              </w:rPr>
              <w:t xml:space="preserve"> </w:t>
            </w:r>
            <w:r w:rsidRPr="00B3216B">
              <w:rPr>
                <w:b/>
              </w:rPr>
              <w:t>semestrul</w:t>
            </w:r>
            <w:r w:rsidRPr="00B3216B">
              <w:rPr>
                <w:b/>
                <w:spacing w:val="-7"/>
              </w:rPr>
              <w:t xml:space="preserve"> </w:t>
            </w:r>
            <w:r w:rsidRPr="00B3216B">
              <w:rPr>
                <w:b/>
                <w:spacing w:val="-5"/>
              </w:rPr>
              <w:t>II</w:t>
            </w:r>
          </w:p>
        </w:tc>
      </w:tr>
      <w:tr w:rsidR="000E58F3" w:rsidRPr="00B3216B" w:rsidTr="00CD464B">
        <w:trPr>
          <w:trHeight w:val="250"/>
        </w:trPr>
        <w:tc>
          <w:tcPr>
            <w:tcW w:w="7088" w:type="dxa"/>
            <w:gridSpan w:val="4"/>
          </w:tcPr>
          <w:p w:rsidR="000E58F3" w:rsidRPr="00B3216B" w:rsidRDefault="001C2435" w:rsidP="004453C7">
            <w:pPr>
              <w:pStyle w:val="TableParagraph"/>
              <w:ind w:left="0"/>
              <w:jc w:val="center"/>
              <w:rPr>
                <w:b/>
              </w:rPr>
            </w:pPr>
            <w:r w:rsidRPr="00B3216B">
              <w:rPr>
                <w:b/>
              </w:rPr>
              <w:t>Numărul</w:t>
            </w:r>
            <w:r w:rsidRPr="00B3216B">
              <w:rPr>
                <w:b/>
                <w:spacing w:val="-6"/>
              </w:rPr>
              <w:t xml:space="preserve"> </w:t>
            </w:r>
            <w:r w:rsidRPr="00B3216B">
              <w:rPr>
                <w:b/>
              </w:rPr>
              <w:t>de</w:t>
            </w:r>
            <w:r w:rsidRPr="00B3216B">
              <w:rPr>
                <w:b/>
                <w:spacing w:val="-5"/>
              </w:rPr>
              <w:t xml:space="preserve"> ore</w:t>
            </w:r>
          </w:p>
        </w:tc>
        <w:tc>
          <w:tcPr>
            <w:tcW w:w="1440" w:type="dxa"/>
            <w:vMerge w:val="restart"/>
          </w:tcPr>
          <w:p w:rsidR="000E58F3" w:rsidRPr="00B3216B" w:rsidRDefault="001C2435" w:rsidP="004453C7">
            <w:pPr>
              <w:pStyle w:val="TableParagraph"/>
              <w:ind w:left="0"/>
              <w:rPr>
                <w:b/>
              </w:rPr>
            </w:pPr>
            <w:r w:rsidRPr="00B3216B">
              <w:rPr>
                <w:b/>
              </w:rPr>
              <w:t>Nr</w:t>
            </w:r>
            <w:r w:rsidRPr="00B3216B">
              <w:rPr>
                <w:b/>
                <w:spacing w:val="-5"/>
              </w:rPr>
              <w:t xml:space="preserve"> </w:t>
            </w:r>
            <w:r w:rsidRPr="00B3216B">
              <w:rPr>
                <w:b/>
              </w:rPr>
              <w:t>de</w:t>
            </w:r>
            <w:r w:rsidRPr="00B3216B">
              <w:rPr>
                <w:b/>
                <w:spacing w:val="-2"/>
              </w:rPr>
              <w:t xml:space="preserve"> credite</w:t>
            </w:r>
          </w:p>
        </w:tc>
        <w:tc>
          <w:tcPr>
            <w:tcW w:w="2086" w:type="dxa"/>
            <w:vMerge w:val="restart"/>
          </w:tcPr>
          <w:p w:rsidR="000E58F3" w:rsidRPr="00B3216B" w:rsidRDefault="001C2435" w:rsidP="004453C7">
            <w:pPr>
              <w:pStyle w:val="TableParagraph"/>
              <w:ind w:left="0"/>
              <w:rPr>
                <w:b/>
              </w:rPr>
            </w:pPr>
            <w:r w:rsidRPr="00B3216B">
              <w:rPr>
                <w:b/>
              </w:rPr>
              <w:t>Forma</w:t>
            </w:r>
            <w:r w:rsidRPr="00B3216B">
              <w:rPr>
                <w:b/>
                <w:spacing w:val="-6"/>
              </w:rPr>
              <w:t xml:space="preserve"> </w:t>
            </w:r>
            <w:r w:rsidRPr="00B3216B">
              <w:rPr>
                <w:b/>
              </w:rPr>
              <w:t>de</w:t>
            </w:r>
            <w:r w:rsidRPr="00B3216B">
              <w:rPr>
                <w:b/>
                <w:spacing w:val="-5"/>
              </w:rPr>
              <w:t xml:space="preserve"> </w:t>
            </w:r>
            <w:r w:rsidRPr="00B3216B">
              <w:rPr>
                <w:b/>
                <w:spacing w:val="-2"/>
              </w:rPr>
              <w:t>evaluare</w:t>
            </w:r>
          </w:p>
        </w:tc>
      </w:tr>
      <w:tr w:rsidR="000E58F3" w:rsidRPr="00B3216B" w:rsidTr="00CD464B">
        <w:trPr>
          <w:trHeight w:val="495"/>
        </w:trPr>
        <w:tc>
          <w:tcPr>
            <w:tcW w:w="2000" w:type="dxa"/>
          </w:tcPr>
          <w:p w:rsidR="000E58F3" w:rsidRPr="00B3216B" w:rsidRDefault="001C2435" w:rsidP="004453C7">
            <w:pPr>
              <w:pStyle w:val="TableParagraph"/>
              <w:ind w:left="0"/>
              <w:jc w:val="center"/>
              <w:rPr>
                <w:b/>
              </w:rPr>
            </w:pPr>
            <w:r w:rsidRPr="00B3216B">
              <w:rPr>
                <w:b/>
                <w:spacing w:val="-2"/>
              </w:rPr>
              <w:t>Total</w:t>
            </w:r>
          </w:p>
        </w:tc>
        <w:tc>
          <w:tcPr>
            <w:tcW w:w="2664" w:type="dxa"/>
            <w:gridSpan w:val="2"/>
          </w:tcPr>
          <w:p w:rsidR="000E58F3" w:rsidRPr="00B3216B" w:rsidRDefault="001C2435" w:rsidP="004453C7">
            <w:pPr>
              <w:pStyle w:val="TableParagraph"/>
              <w:ind w:left="0"/>
              <w:rPr>
                <w:b/>
              </w:rPr>
            </w:pPr>
            <w:r w:rsidRPr="00B3216B">
              <w:rPr>
                <w:b/>
              </w:rPr>
              <w:t>Contact</w:t>
            </w:r>
            <w:r w:rsidRPr="00B3216B">
              <w:rPr>
                <w:b/>
                <w:spacing w:val="-9"/>
              </w:rPr>
              <w:t xml:space="preserve"> </w:t>
            </w:r>
            <w:r w:rsidRPr="00B3216B">
              <w:rPr>
                <w:b/>
                <w:spacing w:val="-2"/>
              </w:rPr>
              <w:t>direct</w:t>
            </w:r>
          </w:p>
        </w:tc>
        <w:tc>
          <w:tcPr>
            <w:tcW w:w="2425" w:type="dxa"/>
          </w:tcPr>
          <w:p w:rsidR="000E58F3" w:rsidRPr="00B3216B" w:rsidRDefault="001C2435" w:rsidP="004453C7">
            <w:pPr>
              <w:pStyle w:val="TableParagraph"/>
              <w:ind w:left="0"/>
              <w:jc w:val="center"/>
              <w:rPr>
                <w:b/>
              </w:rPr>
            </w:pPr>
            <w:r w:rsidRPr="00B3216B">
              <w:rPr>
                <w:b/>
                <w:spacing w:val="-2"/>
              </w:rPr>
              <w:t>Lucrul</w:t>
            </w:r>
          </w:p>
          <w:p w:rsidR="000E58F3" w:rsidRPr="00B3216B" w:rsidRDefault="001C2435" w:rsidP="004453C7">
            <w:pPr>
              <w:pStyle w:val="TableParagraph"/>
              <w:ind w:left="0"/>
              <w:jc w:val="center"/>
              <w:rPr>
                <w:b/>
              </w:rPr>
            </w:pPr>
            <w:r w:rsidRPr="00B3216B">
              <w:rPr>
                <w:b/>
                <w:spacing w:val="-2"/>
              </w:rPr>
              <w:t>individual</w:t>
            </w:r>
          </w:p>
        </w:tc>
        <w:tc>
          <w:tcPr>
            <w:tcW w:w="1440" w:type="dxa"/>
            <w:vMerge/>
            <w:tcBorders>
              <w:top w:val="nil"/>
            </w:tcBorders>
          </w:tcPr>
          <w:p w:rsidR="000E58F3" w:rsidRPr="00B3216B" w:rsidRDefault="000E58F3" w:rsidP="004453C7"/>
        </w:tc>
        <w:tc>
          <w:tcPr>
            <w:tcW w:w="2086" w:type="dxa"/>
            <w:vMerge/>
            <w:tcBorders>
              <w:top w:val="nil"/>
            </w:tcBorders>
          </w:tcPr>
          <w:p w:rsidR="000E58F3" w:rsidRPr="00B3216B" w:rsidRDefault="000E58F3" w:rsidP="004453C7"/>
        </w:tc>
      </w:tr>
      <w:tr w:rsidR="000E58F3" w:rsidRPr="00B3216B" w:rsidTr="00CD464B">
        <w:trPr>
          <w:trHeight w:val="264"/>
        </w:trPr>
        <w:tc>
          <w:tcPr>
            <w:tcW w:w="2000" w:type="dxa"/>
          </w:tcPr>
          <w:p w:rsidR="000E58F3" w:rsidRPr="00B3216B" w:rsidRDefault="001C2435" w:rsidP="004453C7">
            <w:pPr>
              <w:pStyle w:val="TableParagraph"/>
              <w:ind w:left="0"/>
              <w:jc w:val="center"/>
              <w:rPr>
                <w:b/>
              </w:rPr>
            </w:pPr>
            <w:r w:rsidRPr="00B3216B">
              <w:rPr>
                <w:b/>
                <w:spacing w:val="-5"/>
              </w:rPr>
              <w:t>180</w:t>
            </w:r>
          </w:p>
        </w:tc>
        <w:tc>
          <w:tcPr>
            <w:tcW w:w="2664" w:type="dxa"/>
            <w:gridSpan w:val="2"/>
          </w:tcPr>
          <w:p w:rsidR="000E58F3" w:rsidRPr="00B3216B" w:rsidRDefault="001C2435" w:rsidP="004453C7">
            <w:pPr>
              <w:pStyle w:val="TableParagraph"/>
              <w:ind w:left="0"/>
              <w:jc w:val="center"/>
              <w:rPr>
                <w:b/>
              </w:rPr>
            </w:pPr>
            <w:r w:rsidRPr="00B3216B">
              <w:rPr>
                <w:b/>
                <w:spacing w:val="-5"/>
              </w:rPr>
              <w:t>10</w:t>
            </w:r>
          </w:p>
        </w:tc>
        <w:tc>
          <w:tcPr>
            <w:tcW w:w="2425" w:type="dxa"/>
          </w:tcPr>
          <w:p w:rsidR="000E58F3" w:rsidRPr="00B3216B" w:rsidRDefault="001C2435" w:rsidP="004453C7">
            <w:pPr>
              <w:pStyle w:val="TableParagraph"/>
              <w:ind w:left="0"/>
              <w:jc w:val="center"/>
              <w:rPr>
                <w:b/>
              </w:rPr>
            </w:pPr>
            <w:r w:rsidRPr="00B3216B">
              <w:rPr>
                <w:b/>
                <w:spacing w:val="-5"/>
              </w:rPr>
              <w:t>170</w:t>
            </w:r>
          </w:p>
        </w:tc>
        <w:tc>
          <w:tcPr>
            <w:tcW w:w="1440" w:type="dxa"/>
          </w:tcPr>
          <w:p w:rsidR="000E58F3" w:rsidRPr="00B3216B" w:rsidRDefault="001C2435" w:rsidP="004453C7">
            <w:pPr>
              <w:pStyle w:val="TableParagraph"/>
              <w:ind w:left="0"/>
              <w:jc w:val="center"/>
              <w:rPr>
                <w:b/>
              </w:rPr>
            </w:pPr>
            <w:r w:rsidRPr="00B3216B">
              <w:rPr>
                <w:b/>
                <w:spacing w:val="-10"/>
              </w:rPr>
              <w:t>6</w:t>
            </w:r>
          </w:p>
        </w:tc>
        <w:tc>
          <w:tcPr>
            <w:tcW w:w="2086" w:type="dxa"/>
          </w:tcPr>
          <w:p w:rsidR="000E58F3" w:rsidRPr="00B3216B" w:rsidRDefault="001C2435" w:rsidP="004453C7">
            <w:pPr>
              <w:pStyle w:val="TableParagraph"/>
              <w:ind w:left="0"/>
              <w:rPr>
                <w:b/>
              </w:rPr>
            </w:pPr>
            <w:r w:rsidRPr="00B3216B">
              <w:rPr>
                <w:b/>
                <w:spacing w:val="-2"/>
              </w:rPr>
              <w:t>Examen</w:t>
            </w:r>
          </w:p>
        </w:tc>
      </w:tr>
      <w:tr w:rsidR="000E58F3" w:rsidRPr="00B3216B" w:rsidTr="00CD464B">
        <w:trPr>
          <w:trHeight w:val="2858"/>
        </w:trPr>
        <w:tc>
          <w:tcPr>
            <w:tcW w:w="2000" w:type="dxa"/>
          </w:tcPr>
          <w:p w:rsidR="000E58F3" w:rsidRPr="00B3216B" w:rsidRDefault="001C2435" w:rsidP="004453C7">
            <w:pPr>
              <w:pStyle w:val="TableParagraph"/>
              <w:ind w:left="0"/>
              <w:rPr>
                <w:b/>
              </w:rPr>
            </w:pPr>
            <w:r w:rsidRPr="00B3216B">
              <w:rPr>
                <w:b/>
                <w:spacing w:val="-2"/>
              </w:rPr>
              <w:t>Fundamentare</w:t>
            </w:r>
          </w:p>
        </w:tc>
        <w:tc>
          <w:tcPr>
            <w:tcW w:w="8614" w:type="dxa"/>
            <w:gridSpan w:val="5"/>
          </w:tcPr>
          <w:p w:rsidR="00115570" w:rsidRPr="00B3216B" w:rsidRDefault="00B05B3F" w:rsidP="00B3216B">
            <w:pPr>
              <w:pStyle w:val="TableParagraph"/>
              <w:ind w:left="0"/>
              <w:jc w:val="both"/>
            </w:pPr>
            <w:r w:rsidRPr="00B3216B">
              <w:t xml:space="preserve"> </w:t>
            </w:r>
            <w:r w:rsidR="00B3216B">
              <w:t xml:space="preserve">  </w:t>
            </w:r>
            <w:r w:rsidR="009A39AE" w:rsidRPr="00B3216B">
              <w:t xml:space="preserve">Studiul intercultural presupune tehnici și instrumente de cercetare a două sau mai multe limbi comparate la nivel de enunț și text prin aplicarea metodelor din lingvistica structurală, cea funcțională și cognitivă. Limba și vocabularul acesteia este specific cultural și pentru a elabora un studiu lipsit de etnocentrism A. Wierzbicka propune metoda Limbajului Semantic Natural. 59 de primitive semnatic prezente în orice limbă pentru a creea scenarii cognitive prototipice care redau specificul cultural al conceptului specific unei limbi. </w:t>
            </w:r>
            <w:r w:rsidR="00F47307" w:rsidRPr="00B3216B">
              <w:t xml:space="preserve">Totodată se propune Teoria metaforei conceptuale introdusă de Lakoff și Johnson. </w:t>
            </w:r>
            <w:r w:rsidR="009A39AE" w:rsidRPr="00B3216B">
              <w:t>La nivel de corpus c</w:t>
            </w:r>
            <w:r w:rsidRPr="00B3216B">
              <w:t>ercetările actuale se bazează tot mai mult pe analiza conţinutului pus la dispoziţie în varii corpusuri alcătuite din propoziții și contexte preluate din literatura engleză și americană din perioada modernă și post modernă. Mai mult, un corpus poate include articole din ziare, conversații telefonice, postări de pe rețelele sociale sau chiar discursuri politice. Aceste texte sunt apoi stocate sub formă de fișiere pe calculator și analizate cu ajutorul unor programe speciale. Analiza acestor texte ne permite să descoperim modele recurente în utilizarea limbii, cum ar fi frecvența anumitor cuvinte sau expresii în anumite contexte, dar și frame-urile semantice ale cuvintelor puse în aplicare în enunțuri. British National Corpus, de exemplu, conține peste o sută de milioane de cuvinte și a fost publicat la începutul anilor 90.</w:t>
            </w:r>
            <w:r w:rsidR="00B3216B">
              <w:t xml:space="preserve"> </w:t>
            </w:r>
            <w:r w:rsidR="00115570" w:rsidRPr="00B3216B">
              <w:t>Pentru limba română se recomandă Corpusul de referință pentru limba română contemporană (CoRoLa)</w:t>
            </w:r>
            <w:r w:rsidR="0029369C" w:rsidRPr="00B3216B">
              <w:t xml:space="preserve"> apărut în 2014 datorită efortului Academiei Române din Iași, de la Institutul de Inteligență Artificială „Mihai Drăgănescu”.  </w:t>
            </w:r>
          </w:p>
        </w:tc>
      </w:tr>
      <w:tr w:rsidR="000E58F3" w:rsidRPr="00B3216B" w:rsidTr="00CD464B">
        <w:trPr>
          <w:trHeight w:val="1247"/>
        </w:trPr>
        <w:tc>
          <w:tcPr>
            <w:tcW w:w="2000" w:type="dxa"/>
          </w:tcPr>
          <w:p w:rsidR="000E58F3" w:rsidRPr="00B3216B" w:rsidRDefault="001C2435" w:rsidP="004453C7">
            <w:pPr>
              <w:pStyle w:val="TableParagraph"/>
              <w:ind w:left="0"/>
              <w:rPr>
                <w:b/>
              </w:rPr>
            </w:pPr>
            <w:r w:rsidRPr="00B3216B">
              <w:rPr>
                <w:b/>
                <w:spacing w:val="-2"/>
              </w:rPr>
              <w:t>Competenţele obţinute</w:t>
            </w:r>
            <w:r w:rsidR="004453C7" w:rsidRPr="00B3216B">
              <w:rPr>
                <w:b/>
                <w:spacing w:val="-2"/>
              </w:rPr>
              <w:t>/ Rezultatele învățării</w:t>
            </w:r>
          </w:p>
        </w:tc>
        <w:tc>
          <w:tcPr>
            <w:tcW w:w="8614" w:type="dxa"/>
            <w:gridSpan w:val="5"/>
          </w:tcPr>
          <w:p w:rsidR="00A3180B" w:rsidRPr="00B3216B" w:rsidRDefault="00A3180B" w:rsidP="00A3180B">
            <w:pPr>
              <w:ind w:firstLine="229"/>
              <w:jc w:val="both"/>
            </w:pPr>
            <w:r w:rsidRPr="00B3216B">
              <w:t>CP 1. Stabilirea cadrului de necesități de cercetare, expertiză și inovare în filologie</w:t>
            </w:r>
          </w:p>
          <w:p w:rsidR="00A3180B" w:rsidRPr="00B3216B" w:rsidRDefault="00A3180B" w:rsidP="00A3180B">
            <w:pPr>
              <w:ind w:firstLine="229"/>
              <w:jc w:val="both"/>
            </w:pPr>
            <w:r w:rsidRPr="00B3216B">
              <w:t>CP 2. Cercetarea și promovarea cunoștințelor filologice (lingvistice, literare și interculturale)</w:t>
            </w:r>
          </w:p>
          <w:p w:rsidR="00A3180B" w:rsidRPr="00B3216B" w:rsidRDefault="00A3180B" w:rsidP="00A3180B">
            <w:pPr>
              <w:ind w:firstLine="229"/>
              <w:jc w:val="both"/>
            </w:pPr>
            <w:r w:rsidRPr="00B3216B">
              <w:t>CP 3. Expertiza/aprecierea activității filologice și a evenimentelor literare și culturale</w:t>
            </w:r>
          </w:p>
          <w:p w:rsidR="00A3180B" w:rsidRPr="00B3216B" w:rsidRDefault="00A3180B" w:rsidP="00A3180B">
            <w:pPr>
              <w:ind w:firstLine="229"/>
              <w:jc w:val="both"/>
            </w:pPr>
            <w:r w:rsidRPr="00B3216B">
              <w:t>CP 4. Implementarea realizărilor științifice în practica instituțiilor cu competență în domeniul filologiei</w:t>
            </w:r>
          </w:p>
          <w:p w:rsidR="00A3180B" w:rsidRPr="00B3216B" w:rsidRDefault="00A3180B" w:rsidP="00A3180B">
            <w:pPr>
              <w:ind w:firstLine="229"/>
              <w:jc w:val="both"/>
            </w:pPr>
            <w:r w:rsidRPr="00B3216B">
              <w:t>CP 5. Conceptualizarea programelor de formare profesională în domeniul filologic</w:t>
            </w:r>
          </w:p>
          <w:p w:rsidR="000E58F3" w:rsidRPr="00B3216B" w:rsidRDefault="00CD464B" w:rsidP="00A3180B">
            <w:pPr>
              <w:jc w:val="both"/>
            </w:pPr>
            <w:r w:rsidRPr="00B3216B">
              <w:t xml:space="preserve">     </w:t>
            </w:r>
            <w:r w:rsidR="00A3180B" w:rsidRPr="00B3216B">
              <w:t>CP 6. Elaborarea și dezvoltarea cursurilor universitare și de formare profesională continuă.</w:t>
            </w:r>
          </w:p>
        </w:tc>
      </w:tr>
      <w:tr w:rsidR="000E58F3" w:rsidRPr="00B3216B" w:rsidTr="00CD464B">
        <w:trPr>
          <w:trHeight w:val="1242"/>
        </w:trPr>
        <w:tc>
          <w:tcPr>
            <w:tcW w:w="2000" w:type="dxa"/>
          </w:tcPr>
          <w:p w:rsidR="000E58F3" w:rsidRPr="00B3216B" w:rsidRDefault="001C2435" w:rsidP="00B3216B">
            <w:pPr>
              <w:pStyle w:val="TableParagraph"/>
              <w:ind w:left="0" w:right="57"/>
              <w:rPr>
                <w:b/>
              </w:rPr>
            </w:pPr>
            <w:r w:rsidRPr="00B3216B">
              <w:rPr>
                <w:b/>
                <w:spacing w:val="-2"/>
              </w:rPr>
              <w:t>Conţinutul disciplinei</w:t>
            </w:r>
          </w:p>
        </w:tc>
        <w:tc>
          <w:tcPr>
            <w:tcW w:w="8614" w:type="dxa"/>
            <w:gridSpan w:val="5"/>
          </w:tcPr>
          <w:p w:rsidR="00CD464B" w:rsidRPr="00B3216B" w:rsidRDefault="00B3216B" w:rsidP="00B3216B">
            <w:pPr>
              <w:pStyle w:val="TableParagraph"/>
              <w:tabs>
                <w:tab w:val="left" w:pos="440"/>
              </w:tabs>
              <w:ind w:left="0" w:right="57"/>
              <w:jc w:val="both"/>
            </w:pPr>
            <w:r>
              <w:t xml:space="preserve">     </w:t>
            </w:r>
            <w:r w:rsidR="00CD464B" w:rsidRPr="00B3216B">
              <w:t xml:space="preserve">Disciplina de față de axează pe studiul tehnicilor și metodelor de cercetare a spațiului fizic și a celui psihologic în limbile engleză și română și determinarea specificului conceptului de spațiu în două tipuri de culturi diferite și două limbi diferite cu accent pe corpus digital din British National Corpus și CoRoLa. Tipul de cultură și parametri culturali propuși de antropologul american E.T. Hall se aplică pentru a determina interacțiunea non-verbală la nivel de spațiu în limbile engleză și română prin descrierea oferită îm literatura artistică modernă și post-modernă preluată din exemplele propuse în corpusurile digitale menționate supra. </w:t>
            </w:r>
          </w:p>
        </w:tc>
      </w:tr>
      <w:tr w:rsidR="000E58F3" w:rsidRPr="00B3216B" w:rsidTr="00CD464B">
        <w:trPr>
          <w:trHeight w:val="4238"/>
        </w:trPr>
        <w:tc>
          <w:tcPr>
            <w:tcW w:w="2000" w:type="dxa"/>
          </w:tcPr>
          <w:p w:rsidR="000E58F3" w:rsidRPr="00B3216B" w:rsidRDefault="001C2435" w:rsidP="00B3216B">
            <w:pPr>
              <w:pStyle w:val="TableParagraph"/>
              <w:ind w:left="0" w:right="57"/>
              <w:rPr>
                <w:b/>
              </w:rPr>
            </w:pPr>
            <w:r w:rsidRPr="00B3216B">
              <w:rPr>
                <w:b/>
                <w:spacing w:val="-2"/>
              </w:rPr>
              <w:lastRenderedPageBreak/>
              <w:t>Bibliografi</w:t>
            </w:r>
            <w:r w:rsidR="00A3180B" w:rsidRPr="00B3216B">
              <w:rPr>
                <w:b/>
                <w:spacing w:val="-2"/>
              </w:rPr>
              <w:t>e selectiv</w:t>
            </w:r>
            <w:r w:rsidRPr="00B3216B">
              <w:rPr>
                <w:b/>
                <w:spacing w:val="-2"/>
              </w:rPr>
              <w:t>ă</w:t>
            </w:r>
          </w:p>
        </w:tc>
        <w:tc>
          <w:tcPr>
            <w:tcW w:w="8614" w:type="dxa"/>
            <w:gridSpan w:val="5"/>
          </w:tcPr>
          <w:p w:rsidR="00CD464B" w:rsidRPr="00B3216B" w:rsidRDefault="00CD464B" w:rsidP="00B3216B">
            <w:pPr>
              <w:pStyle w:val="ListParagraph"/>
              <w:numPr>
                <w:ilvl w:val="0"/>
                <w:numId w:val="4"/>
              </w:numPr>
              <w:ind w:right="57"/>
              <w:jc w:val="both"/>
              <w:rPr>
                <w:b/>
              </w:rPr>
            </w:pPr>
            <w:r w:rsidRPr="00B3216B">
              <w:rPr>
                <w:i/>
                <w:iCs/>
              </w:rPr>
              <w:t>British National Corpus.</w:t>
            </w:r>
            <w:r w:rsidRPr="00B3216B">
              <w:t xml:space="preserve"> [Citat 6 octombrie 2019]. Disponibil: https://www.english-corpora.org/bnc/ </w:t>
            </w:r>
          </w:p>
          <w:p w:rsidR="00F47307" w:rsidRPr="00B3216B" w:rsidRDefault="00CD464B" w:rsidP="00B3216B">
            <w:pPr>
              <w:pStyle w:val="ListParagraph"/>
              <w:widowControl/>
              <w:numPr>
                <w:ilvl w:val="0"/>
                <w:numId w:val="4"/>
              </w:numPr>
              <w:autoSpaceDE/>
              <w:autoSpaceDN/>
              <w:ind w:right="57"/>
              <w:contextualSpacing/>
              <w:jc w:val="both"/>
            </w:pPr>
            <w:r w:rsidRPr="00B3216B">
              <w:t>2.</w:t>
            </w:r>
            <w:r w:rsidR="00F47307" w:rsidRPr="00B3216B">
              <w:t xml:space="preserve">LAKOFF, G. </w:t>
            </w:r>
            <w:r w:rsidR="00F47307" w:rsidRPr="00B3216B">
              <w:rPr>
                <w:i/>
                <w:iCs/>
              </w:rPr>
              <w:t>The Contemporary Theory of Metaphor</w:t>
            </w:r>
            <w:r w:rsidR="00F47307" w:rsidRPr="00B3216B">
              <w:t xml:space="preserve">, 1992.  [Consultat 2 februarie 2016]. Disponibil: </w:t>
            </w:r>
            <w:hyperlink r:id="rId5" w:history="1">
              <w:r w:rsidR="00F47307" w:rsidRPr="00B3216B">
                <w:rPr>
                  <w:rStyle w:val="Hyperlink"/>
                </w:rPr>
                <w:t>https://terpconnect.umd.edu/~israel/lakoff-ConTheorMetaphor.pdf</w:t>
              </w:r>
            </w:hyperlink>
          </w:p>
          <w:p w:rsidR="00F47307" w:rsidRPr="00B3216B" w:rsidRDefault="00F47307" w:rsidP="00B3216B">
            <w:pPr>
              <w:pStyle w:val="ListParagraph"/>
              <w:widowControl/>
              <w:numPr>
                <w:ilvl w:val="0"/>
                <w:numId w:val="4"/>
              </w:numPr>
              <w:autoSpaceDE/>
              <w:autoSpaceDN/>
              <w:ind w:right="57"/>
              <w:contextualSpacing/>
              <w:jc w:val="both"/>
            </w:pPr>
            <w:r w:rsidRPr="00B3216B">
              <w:t xml:space="preserve">PÂNZARU, R. </w:t>
            </w:r>
            <w:r w:rsidRPr="00B3216B">
              <w:rPr>
                <w:i/>
                <w:iCs/>
              </w:rPr>
              <w:t>Metaforele – scheme textuale globale.</w:t>
            </w:r>
            <w:r w:rsidRPr="00B3216B">
              <w:t xml:space="preserve"> În: Probleme actuale de lingvistică, glotodidactică şi ştiinţă literară, v. IV, partea I, Ch., 2009, p. 461-465. ISBN:  978-9975-70-952-1.</w:t>
            </w:r>
          </w:p>
          <w:p w:rsidR="00F47307" w:rsidRPr="00B3216B" w:rsidRDefault="00F47307" w:rsidP="00B3216B">
            <w:pPr>
              <w:pStyle w:val="ListParagraph"/>
              <w:widowControl/>
              <w:numPr>
                <w:ilvl w:val="0"/>
                <w:numId w:val="4"/>
              </w:numPr>
              <w:autoSpaceDE/>
              <w:autoSpaceDN/>
              <w:ind w:right="57"/>
              <w:contextualSpacing/>
              <w:jc w:val="both"/>
            </w:pPr>
            <w:r w:rsidRPr="00B3216B">
              <w:t xml:space="preserve">WIERZBICKA, A. </w:t>
            </w:r>
            <w:r w:rsidRPr="00B3216B">
              <w:rPr>
                <w:i/>
                <w:iCs/>
              </w:rPr>
              <w:t xml:space="preserve">Understanding Cultures though Their Key Words. English, Russian, Polish, Germnan and Japanese. </w:t>
            </w:r>
            <w:r w:rsidRPr="00B3216B">
              <w:t xml:space="preserve">New York Oxford: Oxford University Press, 1997. 317 p. ISBN 0-19-508835-2. [Citat 29 aprilie 2015]. Disponibil: </w:t>
            </w:r>
            <w:hyperlink r:id="rId6" w:history="1">
              <w:r w:rsidRPr="00B3216B">
                <w:rPr>
                  <w:rStyle w:val="Hyperlink"/>
                </w:rPr>
                <w:t>https://api.pageplace.de/preview/DT0400.9780195358490_A23603802/preview-9780195358490_A23603802.pdf</w:t>
              </w:r>
            </w:hyperlink>
          </w:p>
          <w:p w:rsidR="00F47307" w:rsidRPr="00B3216B" w:rsidRDefault="00CD464B" w:rsidP="00B3216B">
            <w:pPr>
              <w:pStyle w:val="ListParagraph"/>
              <w:widowControl/>
              <w:numPr>
                <w:ilvl w:val="0"/>
                <w:numId w:val="4"/>
              </w:numPr>
              <w:autoSpaceDE/>
              <w:autoSpaceDN/>
              <w:ind w:right="57"/>
              <w:contextualSpacing/>
              <w:jc w:val="both"/>
            </w:pPr>
            <w:r w:rsidRPr="00B3216B">
              <w:t>5</w:t>
            </w:r>
            <w:r w:rsidR="00F47307" w:rsidRPr="00B3216B">
              <w:t xml:space="preserve">.WIERZBICKA, A. </w:t>
            </w:r>
            <w:r w:rsidR="00F47307" w:rsidRPr="00B3216B">
              <w:rPr>
                <w:i/>
                <w:iCs/>
              </w:rPr>
              <w:t>Semantics, Culture and Cognition.</w:t>
            </w:r>
            <w:r w:rsidR="00F47307" w:rsidRPr="00B3216B">
              <w:t xml:space="preserve"> Oxford: Oxford University Press, 1992. 487 p. ISBN 0-19-5073266.</w:t>
            </w:r>
          </w:p>
          <w:p w:rsidR="00F47307" w:rsidRPr="00B3216B" w:rsidRDefault="00CD464B" w:rsidP="00B3216B">
            <w:pPr>
              <w:pStyle w:val="ListParagraph"/>
              <w:widowControl/>
              <w:numPr>
                <w:ilvl w:val="0"/>
                <w:numId w:val="4"/>
              </w:numPr>
              <w:autoSpaceDE/>
              <w:autoSpaceDN/>
              <w:ind w:right="57"/>
              <w:contextualSpacing/>
              <w:jc w:val="both"/>
            </w:pPr>
            <w:r w:rsidRPr="00B3216B">
              <w:t>6</w:t>
            </w:r>
            <w:r w:rsidR="00F47307" w:rsidRPr="00B3216B">
              <w:t>. ЛАРИНА</w:t>
            </w:r>
            <w:r w:rsidR="00F47307" w:rsidRPr="00B3216B">
              <w:rPr>
                <w:lang w:val="ru-RU"/>
              </w:rPr>
              <w:t>,</w:t>
            </w:r>
            <w:r w:rsidR="00F47307" w:rsidRPr="00B3216B">
              <w:t xml:space="preserve"> Т.</w:t>
            </w:r>
            <w:r w:rsidR="00F47307" w:rsidRPr="00B3216B">
              <w:rPr>
                <w:lang w:val="ru-RU"/>
              </w:rPr>
              <w:t xml:space="preserve">, </w:t>
            </w:r>
            <w:r w:rsidR="00F47307" w:rsidRPr="00B3216B">
              <w:t xml:space="preserve">В. </w:t>
            </w:r>
            <w:r w:rsidR="00F47307" w:rsidRPr="00B3216B">
              <w:rPr>
                <w:i/>
                <w:iCs/>
              </w:rPr>
              <w:t>Категория вежливости и стиль коммуникации. Сопоставление английских и русских лингво-культурных традиций.</w:t>
            </w:r>
            <w:r w:rsidR="00F47307" w:rsidRPr="00B3216B">
              <w:t xml:space="preserve"> М</w:t>
            </w:r>
            <w:r w:rsidR="00F47307" w:rsidRPr="00B3216B">
              <w:rPr>
                <w:lang w:val="ru-RU"/>
              </w:rPr>
              <w:t>.</w:t>
            </w:r>
            <w:r w:rsidR="00F47307" w:rsidRPr="00B3216B">
              <w:t>: Рукописные памятники древней Руси, 2009.  512 с. ISBN 978-5-9551-0297-9.</w:t>
            </w:r>
          </w:p>
          <w:p w:rsidR="000E58F3" w:rsidRPr="00B3216B" w:rsidRDefault="00CD464B" w:rsidP="00B3216B">
            <w:pPr>
              <w:pStyle w:val="ListParagraph"/>
              <w:widowControl/>
              <w:numPr>
                <w:ilvl w:val="0"/>
                <w:numId w:val="4"/>
              </w:numPr>
              <w:autoSpaceDE/>
              <w:autoSpaceDN/>
              <w:ind w:right="57"/>
              <w:contextualSpacing/>
              <w:jc w:val="both"/>
            </w:pPr>
            <w:r w:rsidRPr="00B3216B">
              <w:t xml:space="preserve">7. </w:t>
            </w:r>
            <w:r w:rsidRPr="00B3216B">
              <w:rPr>
                <w:lang w:val="ru-RU"/>
              </w:rPr>
              <w:t xml:space="preserve">ПЕРФИЛЬЕВА, С., Ю. </w:t>
            </w:r>
            <w:r w:rsidRPr="00B3216B">
              <w:rPr>
                <w:i/>
                <w:iCs/>
                <w:lang w:val="ru-RU"/>
              </w:rPr>
              <w:t xml:space="preserve">Исследование словарных дефиниций слов – названий эмоций русского и английского языков. </w:t>
            </w:r>
            <w:r w:rsidRPr="00B3216B">
              <w:rPr>
                <w:lang w:val="ru-RU"/>
              </w:rPr>
              <w:t>В: Язык, сознание, коммуникация: Сб. статей / Ред. В.В. Красных, А.И. Изотов. - М.: «Филология», 1998, вып. 5, 124 с. ISBN 5-7552-0124-2.</w:t>
            </w:r>
          </w:p>
        </w:tc>
      </w:tr>
    </w:tbl>
    <w:p w:rsidR="001C2435" w:rsidRPr="00B3216B" w:rsidRDefault="001C2435" w:rsidP="00B3216B">
      <w:pPr>
        <w:ind w:right="57"/>
      </w:pPr>
    </w:p>
    <w:sectPr w:rsidR="001C2435" w:rsidRPr="00B3216B" w:rsidSect="00C21D13">
      <w:type w:val="continuous"/>
      <w:pgSz w:w="11910" w:h="16840"/>
      <w:pgMar w:top="104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3746"/>
    <w:multiLevelType w:val="hybridMultilevel"/>
    <w:tmpl w:val="5CA6E44E"/>
    <w:lvl w:ilvl="0" w:tplc="0818000F">
      <w:start w:val="1"/>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51184319"/>
    <w:multiLevelType w:val="hybridMultilevel"/>
    <w:tmpl w:val="8A7EAFB6"/>
    <w:lvl w:ilvl="0" w:tplc="4D86758E">
      <w:start w:val="1"/>
      <w:numFmt w:val="decimal"/>
      <w:lvlText w:val="%1."/>
      <w:lvlJc w:val="left"/>
      <w:pPr>
        <w:ind w:left="442"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6C6CFDA0">
      <w:numFmt w:val="bullet"/>
      <w:lvlText w:val="•"/>
      <w:lvlJc w:val="left"/>
      <w:pPr>
        <w:ind w:left="1255" w:hanging="361"/>
      </w:pPr>
      <w:rPr>
        <w:rFonts w:hint="default"/>
        <w:lang w:val="ro-RO" w:eastAsia="en-US" w:bidi="ar-SA"/>
      </w:rPr>
    </w:lvl>
    <w:lvl w:ilvl="2" w:tplc="9C2475FC">
      <w:numFmt w:val="bullet"/>
      <w:lvlText w:val="•"/>
      <w:lvlJc w:val="left"/>
      <w:pPr>
        <w:ind w:left="2070" w:hanging="361"/>
      </w:pPr>
      <w:rPr>
        <w:rFonts w:hint="default"/>
        <w:lang w:val="ro-RO" w:eastAsia="en-US" w:bidi="ar-SA"/>
      </w:rPr>
    </w:lvl>
    <w:lvl w:ilvl="3" w:tplc="DEE23A52">
      <w:numFmt w:val="bullet"/>
      <w:lvlText w:val="•"/>
      <w:lvlJc w:val="left"/>
      <w:pPr>
        <w:ind w:left="2885" w:hanging="361"/>
      </w:pPr>
      <w:rPr>
        <w:rFonts w:hint="default"/>
        <w:lang w:val="ro-RO" w:eastAsia="en-US" w:bidi="ar-SA"/>
      </w:rPr>
    </w:lvl>
    <w:lvl w:ilvl="4" w:tplc="BED47492">
      <w:numFmt w:val="bullet"/>
      <w:lvlText w:val="•"/>
      <w:lvlJc w:val="left"/>
      <w:pPr>
        <w:ind w:left="3701" w:hanging="361"/>
      </w:pPr>
      <w:rPr>
        <w:rFonts w:hint="default"/>
        <w:lang w:val="ro-RO" w:eastAsia="en-US" w:bidi="ar-SA"/>
      </w:rPr>
    </w:lvl>
    <w:lvl w:ilvl="5" w:tplc="8ECED8BA">
      <w:numFmt w:val="bullet"/>
      <w:lvlText w:val="•"/>
      <w:lvlJc w:val="left"/>
      <w:pPr>
        <w:ind w:left="4516" w:hanging="361"/>
      </w:pPr>
      <w:rPr>
        <w:rFonts w:hint="default"/>
        <w:lang w:val="ro-RO" w:eastAsia="en-US" w:bidi="ar-SA"/>
      </w:rPr>
    </w:lvl>
    <w:lvl w:ilvl="6" w:tplc="0C2C3080">
      <w:numFmt w:val="bullet"/>
      <w:lvlText w:val="•"/>
      <w:lvlJc w:val="left"/>
      <w:pPr>
        <w:ind w:left="5331" w:hanging="361"/>
      </w:pPr>
      <w:rPr>
        <w:rFonts w:hint="default"/>
        <w:lang w:val="ro-RO" w:eastAsia="en-US" w:bidi="ar-SA"/>
      </w:rPr>
    </w:lvl>
    <w:lvl w:ilvl="7" w:tplc="06AC4CAC">
      <w:numFmt w:val="bullet"/>
      <w:lvlText w:val="•"/>
      <w:lvlJc w:val="left"/>
      <w:pPr>
        <w:ind w:left="6147" w:hanging="361"/>
      </w:pPr>
      <w:rPr>
        <w:rFonts w:hint="default"/>
        <w:lang w:val="ro-RO" w:eastAsia="en-US" w:bidi="ar-SA"/>
      </w:rPr>
    </w:lvl>
    <w:lvl w:ilvl="8" w:tplc="C416F894">
      <w:numFmt w:val="bullet"/>
      <w:lvlText w:val="•"/>
      <w:lvlJc w:val="left"/>
      <w:pPr>
        <w:ind w:left="6962" w:hanging="361"/>
      </w:pPr>
      <w:rPr>
        <w:rFonts w:hint="default"/>
        <w:lang w:val="ro-RO" w:eastAsia="en-US" w:bidi="ar-SA"/>
      </w:rPr>
    </w:lvl>
  </w:abstractNum>
  <w:abstractNum w:abstractNumId="2" w15:restartNumberingAfterBreak="0">
    <w:nsid w:val="581F7128"/>
    <w:multiLevelType w:val="hybridMultilevel"/>
    <w:tmpl w:val="82C8AE62"/>
    <w:lvl w:ilvl="0" w:tplc="CA2EE042">
      <w:start w:val="1"/>
      <w:numFmt w:val="decimal"/>
      <w:lvlText w:val="%1."/>
      <w:lvlJc w:val="left"/>
      <w:pPr>
        <w:ind w:left="786" w:hanging="360"/>
      </w:pPr>
      <w:rPr>
        <w:rFonts w:hint="default"/>
        <w:color w:val="auto"/>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04090019" w:tentative="1">
      <w:start w:val="1"/>
      <w:numFmt w:val="lowerLetter"/>
      <w:lvlText w:val="%8."/>
      <w:lvlJc w:val="left"/>
      <w:pPr>
        <w:ind w:left="5335" w:hanging="360"/>
      </w:pPr>
    </w:lvl>
    <w:lvl w:ilvl="8" w:tplc="0409001B" w:tentative="1">
      <w:start w:val="1"/>
      <w:numFmt w:val="lowerRoman"/>
      <w:lvlText w:val="%9."/>
      <w:lvlJc w:val="right"/>
      <w:pPr>
        <w:ind w:left="6055" w:hanging="180"/>
      </w:pPr>
    </w:lvl>
  </w:abstractNum>
  <w:abstractNum w:abstractNumId="3" w15:restartNumberingAfterBreak="0">
    <w:nsid w:val="627F7AF3"/>
    <w:multiLevelType w:val="hybridMultilevel"/>
    <w:tmpl w:val="E8327A40"/>
    <w:lvl w:ilvl="0" w:tplc="0818000F">
      <w:start w:val="1"/>
      <w:numFmt w:val="decimal"/>
      <w:lvlText w:val="%1."/>
      <w:lvlJc w:val="left"/>
      <w:pPr>
        <w:ind w:left="720" w:hanging="360"/>
      </w:pPr>
      <w:rPr>
        <w:rFont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694B3CE7"/>
    <w:multiLevelType w:val="hybridMultilevel"/>
    <w:tmpl w:val="6C1E35DA"/>
    <w:lvl w:ilvl="0" w:tplc="472E42BE">
      <w:start w:val="1"/>
      <w:numFmt w:val="decimal"/>
      <w:lvlText w:val="%1."/>
      <w:lvlJc w:val="left"/>
      <w:pPr>
        <w:ind w:left="576" w:hanging="423"/>
      </w:pPr>
      <w:rPr>
        <w:rFonts w:hint="default"/>
        <w:spacing w:val="0"/>
        <w:w w:val="100"/>
        <w:lang w:val="ro-RO" w:eastAsia="en-US" w:bidi="ar-SA"/>
      </w:rPr>
    </w:lvl>
    <w:lvl w:ilvl="1" w:tplc="EA348DCE">
      <w:numFmt w:val="bullet"/>
      <w:lvlText w:val="•"/>
      <w:lvlJc w:val="left"/>
      <w:pPr>
        <w:ind w:left="1381" w:hanging="423"/>
      </w:pPr>
      <w:rPr>
        <w:rFonts w:hint="default"/>
        <w:lang w:val="ro-RO" w:eastAsia="en-US" w:bidi="ar-SA"/>
      </w:rPr>
    </w:lvl>
    <w:lvl w:ilvl="2" w:tplc="BD1C4B06">
      <w:numFmt w:val="bullet"/>
      <w:lvlText w:val="•"/>
      <w:lvlJc w:val="left"/>
      <w:pPr>
        <w:ind w:left="2182" w:hanging="423"/>
      </w:pPr>
      <w:rPr>
        <w:rFonts w:hint="default"/>
        <w:lang w:val="ro-RO" w:eastAsia="en-US" w:bidi="ar-SA"/>
      </w:rPr>
    </w:lvl>
    <w:lvl w:ilvl="3" w:tplc="79FE874A">
      <w:numFmt w:val="bullet"/>
      <w:lvlText w:val="•"/>
      <w:lvlJc w:val="left"/>
      <w:pPr>
        <w:ind w:left="2983" w:hanging="423"/>
      </w:pPr>
      <w:rPr>
        <w:rFonts w:hint="default"/>
        <w:lang w:val="ro-RO" w:eastAsia="en-US" w:bidi="ar-SA"/>
      </w:rPr>
    </w:lvl>
    <w:lvl w:ilvl="4" w:tplc="92DC918A">
      <w:numFmt w:val="bullet"/>
      <w:lvlText w:val="•"/>
      <w:lvlJc w:val="left"/>
      <w:pPr>
        <w:ind w:left="3785" w:hanging="423"/>
      </w:pPr>
      <w:rPr>
        <w:rFonts w:hint="default"/>
        <w:lang w:val="ro-RO" w:eastAsia="en-US" w:bidi="ar-SA"/>
      </w:rPr>
    </w:lvl>
    <w:lvl w:ilvl="5" w:tplc="DDD26F1C">
      <w:numFmt w:val="bullet"/>
      <w:lvlText w:val="•"/>
      <w:lvlJc w:val="left"/>
      <w:pPr>
        <w:ind w:left="4586" w:hanging="423"/>
      </w:pPr>
      <w:rPr>
        <w:rFonts w:hint="default"/>
        <w:lang w:val="ro-RO" w:eastAsia="en-US" w:bidi="ar-SA"/>
      </w:rPr>
    </w:lvl>
    <w:lvl w:ilvl="6" w:tplc="1A381BC6">
      <w:numFmt w:val="bullet"/>
      <w:lvlText w:val="•"/>
      <w:lvlJc w:val="left"/>
      <w:pPr>
        <w:ind w:left="5387" w:hanging="423"/>
      </w:pPr>
      <w:rPr>
        <w:rFonts w:hint="default"/>
        <w:lang w:val="ro-RO" w:eastAsia="en-US" w:bidi="ar-SA"/>
      </w:rPr>
    </w:lvl>
    <w:lvl w:ilvl="7" w:tplc="C3F8A348">
      <w:numFmt w:val="bullet"/>
      <w:lvlText w:val="•"/>
      <w:lvlJc w:val="left"/>
      <w:pPr>
        <w:ind w:left="6189" w:hanging="423"/>
      </w:pPr>
      <w:rPr>
        <w:rFonts w:hint="default"/>
        <w:lang w:val="ro-RO" w:eastAsia="en-US" w:bidi="ar-SA"/>
      </w:rPr>
    </w:lvl>
    <w:lvl w:ilvl="8" w:tplc="8D14B454">
      <w:numFmt w:val="bullet"/>
      <w:lvlText w:val="•"/>
      <w:lvlJc w:val="left"/>
      <w:pPr>
        <w:ind w:left="6990" w:hanging="423"/>
      </w:pPr>
      <w:rPr>
        <w:rFonts w:hint="default"/>
        <w:lang w:val="ro-RO" w:eastAsia="en-US" w:bidi="ar-SA"/>
      </w:rPr>
    </w:lvl>
  </w:abstractNum>
  <w:num w:numId="1" w16cid:durableId="511915281">
    <w:abstractNumId w:val="4"/>
  </w:num>
  <w:num w:numId="2" w16cid:durableId="990669417">
    <w:abstractNumId w:val="1"/>
  </w:num>
  <w:num w:numId="3" w16cid:durableId="611321541">
    <w:abstractNumId w:val="2"/>
  </w:num>
  <w:num w:numId="4" w16cid:durableId="885139550">
    <w:abstractNumId w:val="3"/>
  </w:num>
  <w:num w:numId="5" w16cid:durableId="186269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E58F3"/>
    <w:rsid w:val="000E58F3"/>
    <w:rsid w:val="00115570"/>
    <w:rsid w:val="001C2435"/>
    <w:rsid w:val="0029369C"/>
    <w:rsid w:val="004453C7"/>
    <w:rsid w:val="005D7D57"/>
    <w:rsid w:val="006A23A1"/>
    <w:rsid w:val="006B6C07"/>
    <w:rsid w:val="006D32E9"/>
    <w:rsid w:val="0075644B"/>
    <w:rsid w:val="008F697A"/>
    <w:rsid w:val="009A39AE"/>
    <w:rsid w:val="00A3180B"/>
    <w:rsid w:val="00B05B3F"/>
    <w:rsid w:val="00B16B11"/>
    <w:rsid w:val="00B3216B"/>
    <w:rsid w:val="00BC21FC"/>
    <w:rsid w:val="00C115E4"/>
    <w:rsid w:val="00C21D13"/>
    <w:rsid w:val="00CC39D9"/>
    <w:rsid w:val="00CD464B"/>
    <w:rsid w:val="00E567EE"/>
    <w:rsid w:val="00F47307"/>
    <w:rsid w:val="00FD430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18B8"/>
  <w15:docId w15:val="{F205262C-643E-4122-8C26-CA94F136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1D13"/>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21D13"/>
    <w:pPr>
      <w:spacing w:before="2"/>
      <w:ind w:left="2401"/>
    </w:pPr>
    <w:rPr>
      <w:b/>
      <w:bCs/>
    </w:rPr>
  </w:style>
  <w:style w:type="paragraph" w:styleId="Title">
    <w:name w:val="Title"/>
    <w:basedOn w:val="Normal"/>
    <w:uiPriority w:val="1"/>
    <w:qFormat/>
    <w:rsid w:val="00C21D13"/>
    <w:pPr>
      <w:ind w:left="2401"/>
    </w:pPr>
    <w:rPr>
      <w:b/>
      <w:bCs/>
      <w:sz w:val="24"/>
      <w:szCs w:val="24"/>
    </w:rPr>
  </w:style>
  <w:style w:type="paragraph" w:styleId="ListParagraph">
    <w:name w:val="List Paragraph"/>
    <w:basedOn w:val="Normal"/>
    <w:uiPriority w:val="34"/>
    <w:qFormat/>
    <w:rsid w:val="00C21D13"/>
  </w:style>
  <w:style w:type="paragraph" w:customStyle="1" w:styleId="TableParagraph">
    <w:name w:val="Table Paragraph"/>
    <w:basedOn w:val="Normal"/>
    <w:uiPriority w:val="1"/>
    <w:qFormat/>
    <w:rsid w:val="00C21D13"/>
    <w:pPr>
      <w:ind w:left="576"/>
    </w:pPr>
  </w:style>
  <w:style w:type="character" w:styleId="Hyperlink">
    <w:name w:val="Hyperlink"/>
    <w:basedOn w:val="DefaultParagraphFont"/>
    <w:uiPriority w:val="99"/>
    <w:unhideWhenUsed/>
    <w:rsid w:val="00F473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i.pageplace.de/preview/DT0400.9780195358490_A23603802/preview-9780195358490_A23603802.pdf" TargetMode="External"/><Relationship Id="rId5" Type="http://schemas.openxmlformats.org/officeDocument/2006/relationships/hyperlink" Target="https://terpconnect.umd.edu/~israel/lakoff-ConTheorMetaphor.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772</Words>
  <Characters>4483</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Aliona Grati</cp:lastModifiedBy>
  <cp:revision>13</cp:revision>
  <dcterms:created xsi:type="dcterms:W3CDTF">2026-03-26T10:38:00Z</dcterms:created>
  <dcterms:modified xsi:type="dcterms:W3CDTF">2026-04-02T12:44:00Z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2023-04-10T00:00:00Z</vt:filetime>
  </property>
  <property fmtid="{D5CDD505-2E9C-101B-9397-08002B2CF9AE}" pid="3" name="Creator">
    <vt:lpwstr>Microsoft® Word 2016</vt:lpwstr>
  </property>
  <property fmtid="{D5CDD505-2E9C-101B-9397-08002B2CF9AE}" pid="4" name="LastSaved">
    <vt:filetime>2026-03-26T00:00:00Z</vt:filetime>
  </property>
  <property fmtid="{D5CDD505-2E9C-101B-9397-08002B2CF9AE}" pid="5" name="Producer">
    <vt:lpwstr>www.ilovepdf.com</vt:lpwstr>
  </property>
</Properties>
</file>